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CFE8" w14:textId="77777777" w:rsidR="003D56E8" w:rsidRPr="00986EB0" w:rsidRDefault="00AA767F">
      <w:pPr>
        <w:pBdr>
          <w:top w:val="nil"/>
          <w:left w:val="nil"/>
          <w:bottom w:val="nil"/>
          <w:right w:val="nil"/>
          <w:between w:val="nil"/>
        </w:pBdr>
        <w:ind w:left="1891"/>
        <w:rPr>
          <w:rFonts w:ascii="Arial" w:hAnsi="Arial" w:cs="Arial"/>
          <w:color w:val="000000"/>
          <w:sz w:val="20"/>
          <w:szCs w:val="20"/>
        </w:rPr>
      </w:pPr>
      <w:r w:rsidRPr="00986EB0">
        <w:rPr>
          <w:rFonts w:ascii="Arial" w:eastAsia="Gadugi" w:hAnsi="Arial" w:cs="Arial"/>
          <w:noProof/>
          <w:sz w:val="20"/>
          <w:lang w:bidi="fr-CA"/>
        </w:rPr>
        <w:drawing>
          <wp:inline distT="0" distB="0" distL="0" distR="0" wp14:anchorId="19896DED" wp14:editId="484AE661">
            <wp:extent cx="3843772" cy="9144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843772" cy="914400"/>
                    </a:xfrm>
                    <a:prstGeom prst="rect">
                      <a:avLst/>
                    </a:prstGeom>
                    <a:ln/>
                  </pic:spPr>
                </pic:pic>
              </a:graphicData>
            </a:graphic>
          </wp:inline>
        </w:drawing>
      </w:r>
    </w:p>
    <w:p w14:paraId="4446CE46" w14:textId="5BA1E006" w:rsidR="003D56E8" w:rsidRPr="00986EB0" w:rsidRDefault="00AA767F">
      <w:pPr>
        <w:pBdr>
          <w:top w:val="nil"/>
          <w:left w:val="nil"/>
          <w:bottom w:val="nil"/>
          <w:right w:val="nil"/>
          <w:between w:val="nil"/>
        </w:pBdr>
        <w:ind w:right="116"/>
        <w:jc w:val="right"/>
        <w:rPr>
          <w:rFonts w:ascii="Arial" w:eastAsia="Arial" w:hAnsi="Arial" w:cs="Arial"/>
          <w:color w:val="000000"/>
          <w:sz w:val="24"/>
          <w:szCs w:val="24"/>
        </w:rPr>
      </w:pPr>
      <w:bookmarkStart w:id="0" w:name="bookmark=id.gjdgxs" w:colFirst="0" w:colLast="0"/>
      <w:bookmarkEnd w:id="0"/>
      <w:r w:rsidRPr="00986EB0">
        <w:rPr>
          <w:rFonts w:ascii="Arial" w:eastAsia="Gadugi" w:hAnsi="Arial" w:cs="Arial"/>
          <w:sz w:val="24"/>
          <w:lang w:bidi="fr-CA"/>
        </w:rPr>
        <w:t>6 octobre 2020</w:t>
      </w:r>
    </w:p>
    <w:p w14:paraId="6B6428D8" w14:textId="77777777" w:rsidR="003D56E8" w:rsidRPr="00986EB0" w:rsidRDefault="003D56E8">
      <w:pPr>
        <w:pBdr>
          <w:top w:val="nil"/>
          <w:left w:val="nil"/>
          <w:bottom w:val="nil"/>
          <w:right w:val="nil"/>
          <w:between w:val="nil"/>
        </w:pBdr>
        <w:spacing w:before="8"/>
        <w:rPr>
          <w:rFonts w:ascii="Arial" w:eastAsia="Arial" w:hAnsi="Arial" w:cs="Arial"/>
          <w:color w:val="000000"/>
          <w:sz w:val="15"/>
          <w:szCs w:val="15"/>
        </w:rPr>
      </w:pPr>
    </w:p>
    <w:p w14:paraId="7C7FE95D" w14:textId="77777777" w:rsidR="003D56E8" w:rsidRPr="00986EB0" w:rsidRDefault="00AA767F" w:rsidP="009838D8">
      <w:pPr>
        <w:pBdr>
          <w:top w:val="nil"/>
          <w:left w:val="nil"/>
          <w:bottom w:val="nil"/>
          <w:right w:val="nil"/>
          <w:between w:val="nil"/>
        </w:pBdr>
        <w:spacing w:before="93"/>
        <w:ind w:left="600" w:right="6110"/>
        <w:rPr>
          <w:rFonts w:ascii="Arial" w:eastAsia="Arial" w:hAnsi="Arial" w:cs="Arial"/>
          <w:color w:val="000000"/>
          <w:sz w:val="24"/>
          <w:szCs w:val="24"/>
        </w:rPr>
      </w:pPr>
      <w:r w:rsidRPr="00986EB0">
        <w:rPr>
          <w:rFonts w:ascii="Arial" w:eastAsia="Gadugi" w:hAnsi="Arial" w:cs="Arial"/>
          <w:sz w:val="24"/>
          <w:lang w:bidi="fr-CA"/>
        </w:rPr>
        <w:t xml:space="preserve">L’honorable Jeannie </w:t>
      </w:r>
      <w:proofErr w:type="spellStart"/>
      <w:r w:rsidRPr="00986EB0">
        <w:rPr>
          <w:rFonts w:ascii="Arial" w:eastAsia="Gadugi" w:hAnsi="Arial" w:cs="Arial"/>
          <w:sz w:val="24"/>
          <w:lang w:bidi="fr-CA"/>
        </w:rPr>
        <w:t>Ehaloak</w:t>
      </w:r>
      <w:proofErr w:type="spellEnd"/>
      <w:r w:rsidRPr="00986EB0">
        <w:rPr>
          <w:rFonts w:ascii="Arial" w:eastAsia="Gadugi" w:hAnsi="Arial" w:cs="Arial"/>
          <w:sz w:val="24"/>
          <w:lang w:bidi="fr-CA"/>
        </w:rPr>
        <w:t>, ministre responsable de la Société d’énergie Qulliq, Assemblée législative du Nunavut</w:t>
      </w:r>
    </w:p>
    <w:p w14:paraId="5228A193" w14:textId="77777777" w:rsidR="003D56E8" w:rsidRPr="00986EB0" w:rsidRDefault="003D56E8" w:rsidP="009838D8">
      <w:pPr>
        <w:pBdr>
          <w:top w:val="nil"/>
          <w:left w:val="nil"/>
          <w:bottom w:val="nil"/>
          <w:right w:val="nil"/>
          <w:between w:val="nil"/>
        </w:pBdr>
        <w:ind w:left="600" w:right="5210"/>
        <w:rPr>
          <w:rFonts w:ascii="Arial" w:eastAsia="Arial" w:hAnsi="Arial" w:cs="Arial"/>
          <w:color w:val="000000"/>
          <w:sz w:val="24"/>
          <w:szCs w:val="24"/>
        </w:rPr>
      </w:pPr>
    </w:p>
    <w:p w14:paraId="288A9E20" w14:textId="77777777" w:rsidR="009838D8" w:rsidRPr="00986EB0" w:rsidRDefault="00AA767F" w:rsidP="009838D8">
      <w:pPr>
        <w:pBdr>
          <w:top w:val="nil"/>
          <w:left w:val="nil"/>
          <w:bottom w:val="nil"/>
          <w:right w:val="nil"/>
          <w:between w:val="nil"/>
        </w:pBdr>
        <w:ind w:left="600" w:right="6650"/>
        <w:jc w:val="both"/>
        <w:rPr>
          <w:rFonts w:ascii="Arial" w:eastAsia="Arial" w:hAnsi="Arial" w:cs="Arial"/>
          <w:color w:val="000000"/>
          <w:sz w:val="24"/>
          <w:szCs w:val="24"/>
        </w:rPr>
      </w:pPr>
      <w:r w:rsidRPr="00986EB0">
        <w:rPr>
          <w:rFonts w:ascii="Arial" w:eastAsia="Gadugi" w:hAnsi="Arial" w:cs="Arial"/>
          <w:sz w:val="24"/>
          <w:lang w:bidi="fr-CA"/>
        </w:rPr>
        <w:t>C. P. 2410</w:t>
      </w:r>
    </w:p>
    <w:p w14:paraId="7E9C919F" w14:textId="77777777" w:rsidR="00986EB0" w:rsidRDefault="00AA767F" w:rsidP="00986EB0">
      <w:pPr>
        <w:pBdr>
          <w:top w:val="nil"/>
          <w:left w:val="nil"/>
          <w:bottom w:val="nil"/>
          <w:right w:val="nil"/>
          <w:between w:val="nil"/>
        </w:pBdr>
        <w:ind w:left="600" w:right="6926"/>
        <w:jc w:val="both"/>
        <w:rPr>
          <w:rFonts w:ascii="Arial" w:eastAsia="Gadugi" w:hAnsi="Arial" w:cs="Arial"/>
          <w:sz w:val="24"/>
          <w:lang w:bidi="fr-CA"/>
        </w:rPr>
      </w:pPr>
      <w:r w:rsidRPr="00986EB0">
        <w:rPr>
          <w:rFonts w:ascii="Arial" w:eastAsia="Gadugi" w:hAnsi="Arial" w:cs="Arial"/>
          <w:sz w:val="24"/>
          <w:lang w:bidi="fr-CA"/>
        </w:rPr>
        <w:t>Iqaluit</w:t>
      </w:r>
      <w:r w:rsidR="00986EB0">
        <w:rPr>
          <w:rFonts w:ascii="Arial" w:eastAsia="Gadugi" w:hAnsi="Arial" w:cs="Arial"/>
          <w:sz w:val="24"/>
          <w:lang w:bidi="fr-CA"/>
        </w:rPr>
        <w:t xml:space="preserve"> </w:t>
      </w:r>
      <w:r w:rsidRPr="00986EB0">
        <w:rPr>
          <w:rFonts w:ascii="Arial" w:eastAsia="Gadugi" w:hAnsi="Arial" w:cs="Arial"/>
          <w:sz w:val="24"/>
          <w:lang w:bidi="fr-CA"/>
        </w:rPr>
        <w:t>(Nunavut)</w:t>
      </w:r>
    </w:p>
    <w:p w14:paraId="7BCB69ED" w14:textId="4955E0C4" w:rsidR="003D56E8" w:rsidRPr="00986EB0" w:rsidRDefault="00AA767F" w:rsidP="00986EB0">
      <w:pPr>
        <w:pBdr>
          <w:top w:val="nil"/>
          <w:left w:val="nil"/>
          <w:bottom w:val="nil"/>
          <w:right w:val="nil"/>
          <w:between w:val="nil"/>
        </w:pBdr>
        <w:ind w:left="600" w:right="6926"/>
        <w:jc w:val="both"/>
        <w:rPr>
          <w:rFonts w:ascii="Arial" w:eastAsia="Arial" w:hAnsi="Arial" w:cs="Arial"/>
          <w:color w:val="000000"/>
          <w:sz w:val="24"/>
          <w:szCs w:val="24"/>
        </w:rPr>
      </w:pPr>
      <w:r w:rsidRPr="00986EB0">
        <w:rPr>
          <w:rFonts w:ascii="Arial" w:eastAsia="Gadugi" w:hAnsi="Arial" w:cs="Arial"/>
          <w:sz w:val="24"/>
          <w:lang w:bidi="fr-CA"/>
        </w:rPr>
        <w:t>X0A 0H0</w:t>
      </w:r>
    </w:p>
    <w:p w14:paraId="45ABAE05" w14:textId="77777777" w:rsidR="003D56E8" w:rsidRPr="00986EB0" w:rsidRDefault="003D56E8">
      <w:pPr>
        <w:pBdr>
          <w:top w:val="nil"/>
          <w:left w:val="nil"/>
          <w:bottom w:val="nil"/>
          <w:right w:val="nil"/>
          <w:between w:val="nil"/>
        </w:pBdr>
        <w:spacing w:before="10"/>
        <w:rPr>
          <w:rFonts w:ascii="Arial" w:eastAsia="Arial" w:hAnsi="Arial" w:cs="Arial"/>
          <w:color w:val="000000"/>
          <w:sz w:val="21"/>
          <w:szCs w:val="21"/>
        </w:rPr>
      </w:pPr>
    </w:p>
    <w:p w14:paraId="663FD8A5" w14:textId="77777777" w:rsidR="003D56E8" w:rsidRPr="00986EB0" w:rsidRDefault="00AA767F">
      <w:pPr>
        <w:pBdr>
          <w:top w:val="nil"/>
          <w:left w:val="nil"/>
          <w:bottom w:val="nil"/>
          <w:right w:val="nil"/>
          <w:between w:val="nil"/>
        </w:pBdr>
        <w:ind w:left="600"/>
        <w:rPr>
          <w:rFonts w:ascii="Arial" w:eastAsia="Arial" w:hAnsi="Arial" w:cs="Arial"/>
          <w:color w:val="000000"/>
          <w:sz w:val="24"/>
          <w:szCs w:val="24"/>
        </w:rPr>
      </w:pPr>
      <w:r w:rsidRPr="00986EB0">
        <w:rPr>
          <w:rFonts w:ascii="Arial" w:eastAsia="Gadugi" w:hAnsi="Arial" w:cs="Arial"/>
          <w:sz w:val="24"/>
          <w:lang w:bidi="fr-CA"/>
        </w:rPr>
        <w:t>Madame la Ministre,</w:t>
      </w:r>
    </w:p>
    <w:p w14:paraId="3A67222F" w14:textId="77777777" w:rsidR="003D56E8" w:rsidRPr="00986EB0" w:rsidRDefault="003D56E8">
      <w:pPr>
        <w:pBdr>
          <w:top w:val="nil"/>
          <w:left w:val="nil"/>
          <w:bottom w:val="nil"/>
          <w:right w:val="nil"/>
          <w:between w:val="nil"/>
        </w:pBdr>
        <w:rPr>
          <w:rFonts w:ascii="Arial" w:eastAsia="Arial" w:hAnsi="Arial" w:cs="Arial"/>
          <w:color w:val="000000"/>
          <w:sz w:val="24"/>
          <w:szCs w:val="24"/>
        </w:rPr>
      </w:pPr>
    </w:p>
    <w:p w14:paraId="219742A9" w14:textId="70C98C71" w:rsidR="003D56E8" w:rsidRPr="00986EB0" w:rsidRDefault="00AA767F">
      <w:pPr>
        <w:pBdr>
          <w:top w:val="nil"/>
          <w:left w:val="nil"/>
          <w:bottom w:val="nil"/>
          <w:right w:val="nil"/>
          <w:between w:val="nil"/>
        </w:pBdr>
        <w:spacing w:before="1"/>
        <w:ind w:left="600" w:right="129"/>
        <w:rPr>
          <w:rFonts w:ascii="Arial" w:eastAsia="Arial" w:hAnsi="Arial" w:cs="Arial"/>
          <w:color w:val="000000"/>
          <w:sz w:val="24"/>
          <w:szCs w:val="24"/>
        </w:rPr>
      </w:pPr>
      <w:r w:rsidRPr="00986EB0">
        <w:rPr>
          <w:rFonts w:ascii="Arial" w:eastAsia="Gadugi" w:hAnsi="Arial" w:cs="Arial"/>
          <w:sz w:val="24"/>
          <w:lang w:bidi="fr-CA"/>
        </w:rPr>
        <w:t>OBJET : La demande de structure tarifaire pour les producteurs d</w:t>
      </w:r>
      <w:r w:rsidR="00DE3A58" w:rsidRPr="00986EB0">
        <w:rPr>
          <w:rFonts w:ascii="Arial" w:eastAsia="Gadugi" w:hAnsi="Arial" w:cs="Arial"/>
          <w:sz w:val="24"/>
          <w:lang w:bidi="fr-CA"/>
        </w:rPr>
        <w:t>’</w:t>
      </w:r>
      <w:r w:rsidRPr="00986EB0">
        <w:rPr>
          <w:rFonts w:ascii="Arial" w:eastAsia="Gadugi" w:hAnsi="Arial" w:cs="Arial"/>
          <w:sz w:val="24"/>
          <w:lang w:bidi="fr-CA"/>
        </w:rPr>
        <w:t>électricité commerciaux et institutionnels, rapport d’avril 2020 du Conseil d</w:t>
      </w:r>
      <w:r w:rsidR="00DE3A58" w:rsidRPr="00986EB0">
        <w:rPr>
          <w:rFonts w:ascii="Arial" w:eastAsia="Gadugi" w:hAnsi="Arial" w:cs="Arial"/>
          <w:sz w:val="24"/>
          <w:lang w:bidi="fr-CA"/>
        </w:rPr>
        <w:t>’</w:t>
      </w:r>
      <w:r w:rsidRPr="00986EB0">
        <w:rPr>
          <w:rFonts w:ascii="Arial" w:eastAsia="Gadugi" w:hAnsi="Arial" w:cs="Arial"/>
          <w:sz w:val="24"/>
          <w:lang w:bidi="fr-CA"/>
        </w:rPr>
        <w:t>examen des taux des entreprises de services au Nunavut</w:t>
      </w:r>
    </w:p>
    <w:p w14:paraId="42E52237" w14:textId="77777777" w:rsidR="003D56E8" w:rsidRPr="00986EB0" w:rsidRDefault="003D56E8">
      <w:pPr>
        <w:pBdr>
          <w:top w:val="nil"/>
          <w:left w:val="nil"/>
          <w:bottom w:val="nil"/>
          <w:right w:val="nil"/>
          <w:between w:val="nil"/>
        </w:pBdr>
        <w:spacing w:before="11"/>
        <w:rPr>
          <w:rFonts w:ascii="Arial" w:eastAsia="Arial" w:hAnsi="Arial" w:cs="Arial"/>
          <w:color w:val="000000"/>
          <w:sz w:val="23"/>
          <w:szCs w:val="23"/>
        </w:rPr>
      </w:pPr>
    </w:p>
    <w:p w14:paraId="6B5E6322" w14:textId="51EB6ADD" w:rsidR="003D56E8" w:rsidRPr="00986EB0" w:rsidRDefault="00AA767F">
      <w:pPr>
        <w:pBdr>
          <w:top w:val="nil"/>
          <w:left w:val="nil"/>
          <w:bottom w:val="nil"/>
          <w:right w:val="nil"/>
          <w:between w:val="nil"/>
        </w:pBdr>
        <w:ind w:left="599" w:right="586"/>
        <w:jc w:val="both"/>
        <w:rPr>
          <w:rFonts w:ascii="Arial" w:eastAsia="Arial" w:hAnsi="Arial" w:cs="Arial"/>
          <w:color w:val="000000"/>
          <w:sz w:val="24"/>
          <w:szCs w:val="24"/>
        </w:rPr>
      </w:pPr>
      <w:r w:rsidRPr="00986EB0">
        <w:rPr>
          <w:rFonts w:ascii="Arial" w:eastAsia="Gadugi" w:hAnsi="Arial" w:cs="Arial"/>
          <w:sz w:val="24"/>
          <w:lang w:bidi="fr-CA"/>
        </w:rPr>
        <w:t>Dans une lettre datée du 11 mai 2020, la Société d’énergie Qulliq (SÉQ) a présenté à la ministre responsable de la Société d’énergie Qulliq une demande pour l’approbation d’une structure tarifaire et de tarifs pour l’achat d’électricité générée par les producteurs d’électricité commerciaux et institutionnels (demande PÉCI). Dans une lettre datée du 12 mai 2020, la ministre responsable de la SÉQ a sollicité l’avis du Conseil d’examen des taux des entreprises de service (CETES) quant à la demande PÉCI de la SÉQ.</w:t>
      </w:r>
    </w:p>
    <w:p w14:paraId="1F0DF050" w14:textId="77777777" w:rsidR="003D56E8" w:rsidRPr="00986EB0" w:rsidRDefault="003D56E8">
      <w:pPr>
        <w:pBdr>
          <w:top w:val="nil"/>
          <w:left w:val="nil"/>
          <w:bottom w:val="nil"/>
          <w:right w:val="nil"/>
          <w:between w:val="nil"/>
        </w:pBdr>
        <w:rPr>
          <w:rFonts w:ascii="Arial" w:eastAsia="Arial" w:hAnsi="Arial" w:cs="Arial"/>
          <w:color w:val="000000"/>
          <w:sz w:val="24"/>
          <w:szCs w:val="24"/>
        </w:rPr>
      </w:pPr>
    </w:p>
    <w:p w14:paraId="74C8E255" w14:textId="77777777" w:rsidR="003D56E8" w:rsidRPr="00986EB0" w:rsidRDefault="00AA767F">
      <w:pPr>
        <w:pBdr>
          <w:top w:val="nil"/>
          <w:left w:val="nil"/>
          <w:bottom w:val="nil"/>
          <w:right w:val="nil"/>
          <w:between w:val="nil"/>
        </w:pBdr>
        <w:ind w:left="599" w:right="588"/>
        <w:jc w:val="both"/>
        <w:rPr>
          <w:rFonts w:ascii="Arial" w:eastAsia="Arial" w:hAnsi="Arial" w:cs="Arial"/>
          <w:color w:val="000000"/>
          <w:sz w:val="24"/>
          <w:szCs w:val="24"/>
        </w:rPr>
      </w:pPr>
      <w:r w:rsidRPr="00986EB0">
        <w:rPr>
          <w:rFonts w:ascii="Arial" w:eastAsia="Gadugi" w:hAnsi="Arial" w:cs="Arial"/>
          <w:sz w:val="24"/>
          <w:lang w:bidi="fr-CA"/>
        </w:rPr>
        <w:t>En réponse à cette demande et à la requête de la ministre, vous trouverez en annexe le rapport du CETES d’avril 2020 concernant la demande PÉCI de la SÉQ.</w:t>
      </w:r>
    </w:p>
    <w:p w14:paraId="599FDCB3" w14:textId="77777777" w:rsidR="003D56E8" w:rsidRPr="00986EB0" w:rsidRDefault="003D56E8">
      <w:pPr>
        <w:pBdr>
          <w:top w:val="nil"/>
          <w:left w:val="nil"/>
          <w:bottom w:val="nil"/>
          <w:right w:val="nil"/>
          <w:between w:val="nil"/>
        </w:pBdr>
        <w:rPr>
          <w:rFonts w:ascii="Arial" w:eastAsia="Arial" w:hAnsi="Arial" w:cs="Arial"/>
          <w:color w:val="000000"/>
          <w:sz w:val="24"/>
          <w:szCs w:val="24"/>
        </w:rPr>
      </w:pPr>
    </w:p>
    <w:p w14:paraId="64E2A8C0" w14:textId="77777777" w:rsidR="003D56E8" w:rsidRPr="00986EB0" w:rsidRDefault="00AA767F">
      <w:pPr>
        <w:pBdr>
          <w:top w:val="nil"/>
          <w:left w:val="nil"/>
          <w:bottom w:val="nil"/>
          <w:right w:val="nil"/>
          <w:between w:val="nil"/>
        </w:pBdr>
        <w:spacing w:after="7"/>
        <w:ind w:left="599"/>
        <w:jc w:val="both"/>
        <w:rPr>
          <w:rFonts w:ascii="Arial" w:eastAsia="Arial" w:hAnsi="Arial" w:cs="Arial"/>
          <w:color w:val="000000"/>
          <w:sz w:val="24"/>
          <w:szCs w:val="24"/>
        </w:rPr>
      </w:pPr>
      <w:r w:rsidRPr="00986EB0">
        <w:rPr>
          <w:rFonts w:ascii="Arial" w:eastAsia="Gadugi" w:hAnsi="Arial" w:cs="Arial"/>
          <w:sz w:val="24"/>
          <w:lang w:bidi="fr-CA"/>
        </w:rPr>
        <w:t>Nous vous remercions de l’attention que vous porterez aux présentes.</w:t>
      </w:r>
    </w:p>
    <w:p w14:paraId="6670B2E7" w14:textId="77777777" w:rsidR="003D56E8" w:rsidRPr="00986EB0" w:rsidRDefault="00AA767F">
      <w:pPr>
        <w:pBdr>
          <w:top w:val="nil"/>
          <w:left w:val="nil"/>
          <w:bottom w:val="nil"/>
          <w:right w:val="nil"/>
          <w:between w:val="nil"/>
        </w:pBdr>
        <w:ind w:left="140"/>
        <w:rPr>
          <w:rFonts w:ascii="Arial" w:eastAsia="Arial" w:hAnsi="Arial" w:cs="Arial"/>
          <w:color w:val="000000"/>
          <w:sz w:val="20"/>
          <w:szCs w:val="20"/>
        </w:rPr>
      </w:pPr>
      <w:r w:rsidRPr="00986EB0">
        <w:rPr>
          <w:rFonts w:ascii="Arial" w:eastAsia="Gadugi" w:hAnsi="Arial" w:cs="Arial"/>
          <w:noProof/>
          <w:sz w:val="20"/>
          <w:lang w:bidi="fr-CA"/>
        </w:rPr>
        <w:drawing>
          <wp:inline distT="0" distB="0" distL="0" distR="0" wp14:anchorId="7C74F118" wp14:editId="2D5215E3">
            <wp:extent cx="2623877" cy="1265586"/>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623877" cy="1265586"/>
                    </a:xfrm>
                    <a:prstGeom prst="rect">
                      <a:avLst/>
                    </a:prstGeom>
                    <a:ln/>
                  </pic:spPr>
                </pic:pic>
              </a:graphicData>
            </a:graphic>
          </wp:inline>
        </w:drawing>
      </w:r>
    </w:p>
    <w:p w14:paraId="0C8C2A01" w14:textId="77777777" w:rsidR="003D56E8" w:rsidRPr="00986EB0" w:rsidRDefault="00AA767F">
      <w:pPr>
        <w:pBdr>
          <w:top w:val="nil"/>
          <w:left w:val="nil"/>
          <w:bottom w:val="nil"/>
          <w:right w:val="nil"/>
          <w:between w:val="nil"/>
        </w:pBdr>
        <w:spacing w:before="25"/>
        <w:ind w:left="600"/>
        <w:jc w:val="both"/>
        <w:rPr>
          <w:rFonts w:ascii="Arial" w:eastAsia="Arial" w:hAnsi="Arial" w:cs="Arial"/>
          <w:color w:val="000000"/>
          <w:sz w:val="24"/>
          <w:szCs w:val="24"/>
        </w:rPr>
      </w:pPr>
      <w:r w:rsidRPr="00986EB0">
        <w:rPr>
          <w:rFonts w:ascii="Arial" w:eastAsia="Gadugi" w:hAnsi="Arial" w:cs="Arial"/>
          <w:sz w:val="24"/>
          <w:lang w:bidi="fr-CA"/>
        </w:rPr>
        <w:t>Anthony Rose</w:t>
      </w:r>
    </w:p>
    <w:p w14:paraId="783412EB" w14:textId="77777777" w:rsidR="003D56E8" w:rsidRPr="00986EB0" w:rsidRDefault="00AA767F">
      <w:pPr>
        <w:pBdr>
          <w:top w:val="nil"/>
          <w:left w:val="nil"/>
          <w:bottom w:val="nil"/>
          <w:right w:val="nil"/>
          <w:between w:val="nil"/>
        </w:pBdr>
        <w:ind w:left="600"/>
        <w:jc w:val="both"/>
        <w:rPr>
          <w:rFonts w:ascii="Arial" w:eastAsia="Arial" w:hAnsi="Arial" w:cs="Arial"/>
          <w:color w:val="000000"/>
          <w:sz w:val="24"/>
          <w:szCs w:val="24"/>
        </w:rPr>
      </w:pPr>
      <w:r w:rsidRPr="00986EB0">
        <w:rPr>
          <w:rFonts w:ascii="Arial" w:eastAsia="Gadugi" w:hAnsi="Arial" w:cs="Arial"/>
          <w:sz w:val="24"/>
          <w:lang w:bidi="fr-CA"/>
        </w:rPr>
        <w:t>Président, Conseil d’examen des taux des entreprises de service du Nunavut</w:t>
      </w:r>
    </w:p>
    <w:p w14:paraId="00C6C82C" w14:textId="77777777" w:rsidR="003D56E8" w:rsidRPr="00986EB0" w:rsidRDefault="003D56E8">
      <w:pPr>
        <w:pBdr>
          <w:top w:val="nil"/>
          <w:left w:val="nil"/>
          <w:bottom w:val="nil"/>
          <w:right w:val="nil"/>
          <w:between w:val="nil"/>
        </w:pBdr>
        <w:rPr>
          <w:rFonts w:ascii="Arial" w:eastAsia="Arial" w:hAnsi="Arial" w:cs="Arial"/>
          <w:color w:val="000000"/>
          <w:sz w:val="24"/>
          <w:szCs w:val="24"/>
        </w:rPr>
      </w:pPr>
    </w:p>
    <w:p w14:paraId="64F9EAC4" w14:textId="451E3236" w:rsidR="003D56E8" w:rsidRPr="00986EB0" w:rsidRDefault="00AA767F">
      <w:pPr>
        <w:tabs>
          <w:tab w:val="left" w:pos="1317"/>
        </w:tabs>
        <w:spacing w:line="276" w:lineRule="auto"/>
        <w:ind w:left="599"/>
        <w:rPr>
          <w:rFonts w:ascii="Arial" w:eastAsia="Arial" w:hAnsi="Arial" w:cs="Arial"/>
        </w:rPr>
      </w:pPr>
      <w:r w:rsidRPr="00986EB0">
        <w:rPr>
          <w:rFonts w:ascii="Arial" w:eastAsia="Gadugi" w:hAnsi="Arial" w:cs="Arial"/>
          <w:sz w:val="24"/>
          <w:lang w:bidi="fr-CA"/>
        </w:rPr>
        <w:t>CC :</w:t>
      </w:r>
      <w:r w:rsidRPr="00986EB0">
        <w:rPr>
          <w:rFonts w:ascii="Arial" w:eastAsia="Gadugi" w:hAnsi="Arial" w:cs="Arial"/>
          <w:sz w:val="24"/>
          <w:lang w:bidi="fr-CA"/>
        </w:rPr>
        <w:tab/>
      </w:r>
      <w:r w:rsidRPr="00986EB0">
        <w:rPr>
          <w:rFonts w:ascii="Arial" w:eastAsia="Gadugi" w:hAnsi="Arial" w:cs="Arial"/>
          <w:lang w:bidi="fr-CA"/>
        </w:rPr>
        <w:t xml:space="preserve">Joe </w:t>
      </w:r>
      <w:proofErr w:type="spellStart"/>
      <w:r w:rsidRPr="00986EB0">
        <w:rPr>
          <w:rFonts w:ascii="Arial" w:eastAsia="Gadugi" w:hAnsi="Arial" w:cs="Arial"/>
          <w:lang w:bidi="fr-CA"/>
        </w:rPr>
        <w:t>Savikataaq</w:t>
      </w:r>
      <w:proofErr w:type="spellEnd"/>
      <w:r w:rsidRPr="00986EB0">
        <w:rPr>
          <w:rFonts w:ascii="Arial" w:eastAsia="Gadugi" w:hAnsi="Arial" w:cs="Arial"/>
          <w:lang w:bidi="fr-CA"/>
        </w:rPr>
        <w:t>, premier ministre et responsable du CETES</w:t>
      </w:r>
    </w:p>
    <w:p w14:paraId="02284AB8" w14:textId="77777777" w:rsidR="00616933" w:rsidRPr="00986EB0" w:rsidRDefault="00AA767F">
      <w:pPr>
        <w:ind w:left="1317" w:right="1044"/>
        <w:rPr>
          <w:rFonts w:ascii="Arial" w:eastAsia="Arial" w:hAnsi="Arial" w:cs="Arial"/>
        </w:rPr>
      </w:pPr>
      <w:r w:rsidRPr="00986EB0">
        <w:rPr>
          <w:rFonts w:ascii="Arial" w:eastAsia="Gadugi" w:hAnsi="Arial" w:cs="Arial"/>
          <w:lang w:bidi="fr-CA"/>
        </w:rPr>
        <w:t xml:space="preserve">William </w:t>
      </w:r>
      <w:proofErr w:type="spellStart"/>
      <w:r w:rsidRPr="00986EB0">
        <w:rPr>
          <w:rFonts w:ascii="Arial" w:eastAsia="Gadugi" w:hAnsi="Arial" w:cs="Arial"/>
          <w:lang w:bidi="fr-CA"/>
        </w:rPr>
        <w:t>MacKay</w:t>
      </w:r>
      <w:proofErr w:type="spellEnd"/>
      <w:r w:rsidRPr="00986EB0">
        <w:rPr>
          <w:rFonts w:ascii="Arial" w:eastAsia="Gadugi" w:hAnsi="Arial" w:cs="Arial"/>
          <w:lang w:bidi="fr-CA"/>
        </w:rPr>
        <w:t xml:space="preserve">, sous-ministre de l’Exécutif et des Affaires intergouvernementales </w:t>
      </w:r>
    </w:p>
    <w:p w14:paraId="62B0568A" w14:textId="3250CDB6" w:rsidR="003D56E8" w:rsidRPr="00986EB0" w:rsidRDefault="00AA767F">
      <w:pPr>
        <w:ind w:left="1317" w:right="1044"/>
        <w:rPr>
          <w:rFonts w:ascii="Arial" w:eastAsia="Arial" w:hAnsi="Arial" w:cs="Arial"/>
        </w:rPr>
      </w:pPr>
      <w:r w:rsidRPr="00986EB0">
        <w:rPr>
          <w:rFonts w:ascii="Arial" w:eastAsia="Gadugi" w:hAnsi="Arial" w:cs="Arial"/>
          <w:lang w:bidi="fr-CA"/>
        </w:rPr>
        <w:t>Jamie Flaherty, président par intérim, Société d</w:t>
      </w:r>
      <w:r w:rsidR="00DE3A58" w:rsidRPr="00986EB0">
        <w:rPr>
          <w:rFonts w:ascii="Arial" w:eastAsia="Gadugi" w:hAnsi="Arial" w:cs="Arial"/>
          <w:lang w:bidi="fr-CA"/>
        </w:rPr>
        <w:t>’</w:t>
      </w:r>
      <w:r w:rsidRPr="00986EB0">
        <w:rPr>
          <w:rFonts w:ascii="Arial" w:eastAsia="Gadugi" w:hAnsi="Arial" w:cs="Arial"/>
          <w:lang w:bidi="fr-CA"/>
        </w:rPr>
        <w:t>énergie Qulliq</w:t>
      </w:r>
    </w:p>
    <w:p w14:paraId="21F4E2AC" w14:textId="77777777" w:rsidR="003D56E8" w:rsidRPr="00986EB0" w:rsidRDefault="00AA767F">
      <w:pPr>
        <w:ind w:left="1317"/>
        <w:rPr>
          <w:rFonts w:ascii="Arial" w:eastAsia="Arial" w:hAnsi="Arial" w:cs="Arial"/>
        </w:rPr>
      </w:pPr>
      <w:r w:rsidRPr="00986EB0">
        <w:rPr>
          <w:rFonts w:ascii="Arial" w:eastAsia="Gadugi" w:hAnsi="Arial" w:cs="Arial"/>
          <w:lang w:bidi="fr-CA"/>
        </w:rPr>
        <w:t>Theresa Fox-Mansell, directrice générale par intérim, CETES</w:t>
      </w:r>
    </w:p>
    <w:p w14:paraId="4AA8A199" w14:textId="77777777" w:rsidR="003D56E8" w:rsidRPr="00986EB0" w:rsidRDefault="00AA767F">
      <w:pPr>
        <w:pBdr>
          <w:top w:val="nil"/>
          <w:left w:val="nil"/>
          <w:bottom w:val="nil"/>
          <w:right w:val="nil"/>
          <w:between w:val="nil"/>
        </w:pBdr>
        <w:spacing w:before="4"/>
        <w:rPr>
          <w:rFonts w:ascii="Arial" w:eastAsia="Arial" w:hAnsi="Arial" w:cs="Arial"/>
          <w:color w:val="000000"/>
          <w:sz w:val="25"/>
          <w:szCs w:val="25"/>
        </w:rPr>
      </w:pPr>
      <w:r w:rsidRPr="00986EB0">
        <w:rPr>
          <w:rFonts w:ascii="Arial" w:eastAsia="Gadugi" w:hAnsi="Arial" w:cs="Arial"/>
          <w:noProof/>
          <w:lang w:bidi="fr-CA"/>
        </w:rPr>
        <mc:AlternateContent>
          <mc:Choice Requires="wps">
            <w:drawing>
              <wp:anchor distT="0" distB="0" distL="0" distR="0" simplePos="0" relativeHeight="251658240" behindDoc="0" locked="0" layoutInCell="1" hidden="0" allowOverlap="1" wp14:anchorId="411E7C28" wp14:editId="498DEA70">
                <wp:simplePos x="0" y="0"/>
                <wp:positionH relativeFrom="column">
                  <wp:posOffset>190500</wp:posOffset>
                </wp:positionH>
                <wp:positionV relativeFrom="paragraph">
                  <wp:posOffset>203200</wp:posOffset>
                </wp:positionV>
                <wp:extent cx="5842000" cy="25400"/>
                <wp:effectExtent l="0" t="0" r="0" b="0"/>
                <wp:wrapTopAndBottom distT="0" distB="0"/>
                <wp:docPr id="18" name="Straight Arrow Connector 18"/>
                <wp:cNvGraphicFramePr/>
                <a:graphic xmlns:a="http://schemas.openxmlformats.org/drawingml/2006/main">
                  <a:graphicData uri="http://schemas.microsoft.com/office/word/2010/wordprocessingShape">
                    <wps:wsp>
                      <wps:cNvCnPr/>
                      <wps:spPr>
                        <a:xfrm>
                          <a:off x="2431350" y="3773650"/>
                          <a:ext cx="5829300" cy="12700"/>
                        </a:xfrm>
                        <a:prstGeom prst="straightConnector1">
                          <a:avLst/>
                        </a:prstGeom>
                        <a:noFill/>
                        <a:ln w="12700" cap="flat" cmpd="sng">
                          <a:solidFill>
                            <a:srgbClr val="0092D5"/>
                          </a:solidFill>
                          <a:prstDash val="solid"/>
                          <a:round/>
                          <a:headEnd type="none" w="med" len="med"/>
                          <a:tailEnd type="none" w="med" len="med"/>
                        </a:ln>
                      </wps:spPr>
                      <wps:bodyPr/>
                    </wps:wsp>
                  </a:graphicData>
                </a:graphic>
              </wp:anchor>
            </w:drawing>
          </mc:Choice>
          <mc:Fallback>
            <w:pict>
              <v:shapetype w14:anchorId="70C6C5EC" id="_x0000_t32" coordsize="21600,21600" o:spt="32" o:oned="t" path="m,l21600,21600e" filled="f">
                <v:path arrowok="t" fillok="f" o:connecttype="none"/>
                <o:lock v:ext="edit" shapetype="t"/>
              </v:shapetype>
              <v:shape id="Straight Arrow Connector 18" o:spid="_x0000_s1026" type="#_x0000_t32" style="position:absolute;margin-left:15pt;margin-top:16pt;width:460pt;height:2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" strokecolor="#0092d5" strokeweight="1pt">
                <w10:wrap type="topAndBottom"/>
              </v:shape>
            </w:pict>
          </mc:Fallback>
        </mc:AlternateContent>
      </w:r>
    </w:p>
    <w:p w14:paraId="424C3E80" w14:textId="77777777" w:rsidR="003D56E8" w:rsidRPr="00986EB0" w:rsidRDefault="003D56E8">
      <w:pPr>
        <w:pBdr>
          <w:top w:val="nil"/>
          <w:left w:val="nil"/>
          <w:bottom w:val="nil"/>
          <w:right w:val="nil"/>
          <w:between w:val="nil"/>
        </w:pBdr>
        <w:rPr>
          <w:rFonts w:ascii="Arial" w:eastAsia="Arial" w:hAnsi="Arial" w:cs="Arial"/>
          <w:color w:val="000000"/>
          <w:sz w:val="24"/>
          <w:szCs w:val="24"/>
        </w:rPr>
      </w:pPr>
    </w:p>
    <w:p w14:paraId="02069F21" w14:textId="178B64C4" w:rsidR="003D56E8" w:rsidRPr="00986EB0" w:rsidRDefault="00AA767F">
      <w:pPr>
        <w:spacing w:before="190"/>
        <w:ind w:left="350"/>
        <w:rPr>
          <w:rFonts w:ascii="Arial" w:hAnsi="Arial" w:cs="Arial"/>
        </w:rPr>
      </w:pPr>
      <w:r w:rsidRPr="00986EB0">
        <w:rPr>
          <w:rFonts w:ascii="Arial" w:eastAsia="Gadugi" w:hAnsi="Arial" w:cs="Arial"/>
          <w:color w:val="0070C0"/>
          <w:lang w:bidi="fr-CA"/>
        </w:rPr>
        <w:t xml:space="preserve">C.P. 1000, succursale 200, Iqaluit (Nunavut) X0A 0H0, </w:t>
      </w:r>
      <w:hyperlink r:id="rId11">
        <w:r w:rsidRPr="00986EB0">
          <w:rPr>
            <w:rFonts w:ascii="Arial" w:eastAsia="Gadugi" w:hAnsi="Arial" w:cs="Arial"/>
            <w:color w:val="0070C0"/>
            <w:lang w:bidi="fr-CA"/>
          </w:rPr>
          <w:t xml:space="preserve">urrc@gov.nu.ca </w:t>
        </w:r>
      </w:hyperlink>
      <w:hyperlink r:id="rId12">
        <w:r w:rsidRPr="00986EB0">
          <w:rPr>
            <w:rFonts w:ascii="Arial" w:eastAsia="Gadugi" w:hAnsi="Arial" w:cs="Arial"/>
            <w:color w:val="0070C0"/>
            <w:lang w:bidi="fr-CA"/>
          </w:rPr>
          <w:t>www.urrc.gov.nu.ca</w:t>
        </w:r>
      </w:hyperlink>
    </w:p>
    <w:p w14:paraId="5313544F" w14:textId="77777777" w:rsidR="003D56E8" w:rsidRPr="00986EB0" w:rsidRDefault="003D56E8">
      <w:pPr>
        <w:rPr>
          <w:rFonts w:ascii="Arial" w:hAnsi="Arial" w:cs="Arial"/>
        </w:rPr>
        <w:sectPr w:rsidR="003D56E8" w:rsidRPr="00986EB0">
          <w:headerReference w:type="even" r:id="rId13"/>
          <w:headerReference w:type="default" r:id="rId14"/>
          <w:footerReference w:type="even" r:id="rId15"/>
          <w:footerReference w:type="default" r:id="rId16"/>
          <w:headerReference w:type="first" r:id="rId17"/>
          <w:footerReference w:type="first" r:id="rId18"/>
          <w:pgSz w:w="12240" w:h="15840"/>
          <w:pgMar w:top="1500" w:right="1420" w:bottom="280" w:left="1200" w:header="720" w:footer="720" w:gutter="0"/>
          <w:pgNumType w:start="1"/>
          <w:cols w:space="720" w:equalWidth="0">
            <w:col w:w="9360"/>
          </w:cols>
        </w:sectPr>
      </w:pPr>
    </w:p>
    <w:p w14:paraId="279631B2" w14:textId="77777777" w:rsidR="003D56E8" w:rsidRPr="00986EB0" w:rsidRDefault="003D56E8">
      <w:pPr>
        <w:pBdr>
          <w:top w:val="nil"/>
          <w:left w:val="nil"/>
          <w:bottom w:val="nil"/>
          <w:right w:val="nil"/>
          <w:between w:val="nil"/>
        </w:pBdr>
        <w:rPr>
          <w:rFonts w:ascii="Arial" w:hAnsi="Arial" w:cs="Arial"/>
          <w:color w:val="000000"/>
          <w:sz w:val="20"/>
          <w:szCs w:val="20"/>
        </w:rPr>
      </w:pPr>
    </w:p>
    <w:p w14:paraId="47FD3FB9" w14:textId="77777777" w:rsidR="003D56E8" w:rsidRPr="00986EB0" w:rsidRDefault="003D56E8">
      <w:pPr>
        <w:pBdr>
          <w:top w:val="nil"/>
          <w:left w:val="nil"/>
          <w:bottom w:val="nil"/>
          <w:right w:val="nil"/>
          <w:between w:val="nil"/>
        </w:pBdr>
        <w:rPr>
          <w:rFonts w:ascii="Arial" w:hAnsi="Arial" w:cs="Arial"/>
          <w:color w:val="000000"/>
          <w:sz w:val="20"/>
          <w:szCs w:val="20"/>
        </w:rPr>
      </w:pPr>
    </w:p>
    <w:p w14:paraId="59826FAD" w14:textId="77777777" w:rsidR="003D56E8" w:rsidRPr="00986EB0" w:rsidRDefault="003D56E8">
      <w:pPr>
        <w:pBdr>
          <w:top w:val="nil"/>
          <w:left w:val="nil"/>
          <w:bottom w:val="nil"/>
          <w:right w:val="nil"/>
          <w:between w:val="nil"/>
        </w:pBdr>
        <w:spacing w:before="9"/>
        <w:rPr>
          <w:rFonts w:ascii="Arial" w:hAnsi="Arial" w:cs="Arial"/>
          <w:color w:val="000000"/>
          <w:sz w:val="11"/>
          <w:szCs w:val="11"/>
        </w:rPr>
      </w:pPr>
    </w:p>
    <w:p w14:paraId="7C032705" w14:textId="77777777" w:rsidR="003D56E8" w:rsidRPr="00986EB0" w:rsidRDefault="00AA767F">
      <w:pPr>
        <w:pBdr>
          <w:top w:val="nil"/>
          <w:left w:val="nil"/>
          <w:bottom w:val="nil"/>
          <w:right w:val="nil"/>
          <w:between w:val="nil"/>
        </w:pBdr>
        <w:ind w:left="353"/>
        <w:rPr>
          <w:rFonts w:ascii="Arial" w:hAnsi="Arial" w:cs="Arial"/>
          <w:color w:val="000000"/>
          <w:sz w:val="20"/>
          <w:szCs w:val="20"/>
        </w:rPr>
      </w:pPr>
      <w:r w:rsidRPr="00986EB0">
        <w:rPr>
          <w:rFonts w:ascii="Arial" w:eastAsia="Gadugi" w:hAnsi="Arial" w:cs="Arial"/>
          <w:noProof/>
          <w:sz w:val="20"/>
          <w:lang w:bidi="fr-CA"/>
        </w:rPr>
        <w:drawing>
          <wp:inline distT="0" distB="0" distL="0" distR="0" wp14:anchorId="6467B7B5" wp14:editId="79FF7F9B">
            <wp:extent cx="5664310" cy="2029968"/>
            <wp:effectExtent l="0" t="0" r="0" b="0"/>
            <wp:docPr id="21" name="image4.jpg" descr="URCCLogo"/>
            <wp:cNvGraphicFramePr/>
            <a:graphic xmlns:a="http://schemas.openxmlformats.org/drawingml/2006/main">
              <a:graphicData uri="http://schemas.openxmlformats.org/drawingml/2006/picture">
                <pic:pic xmlns:pic="http://schemas.openxmlformats.org/drawingml/2006/picture">
                  <pic:nvPicPr>
                    <pic:cNvPr id="0" name="image4.jpg" descr="URCCLogo"/>
                    <pic:cNvPicPr preferRelativeResize="0"/>
                  </pic:nvPicPr>
                  <pic:blipFill>
                    <a:blip r:embed="rId19"/>
                    <a:srcRect/>
                    <a:stretch>
                      <a:fillRect/>
                    </a:stretch>
                  </pic:blipFill>
                  <pic:spPr>
                    <a:xfrm>
                      <a:off x="0" y="0"/>
                      <a:ext cx="5664310" cy="2029968"/>
                    </a:xfrm>
                    <a:prstGeom prst="rect">
                      <a:avLst/>
                    </a:prstGeom>
                    <a:ln/>
                  </pic:spPr>
                </pic:pic>
              </a:graphicData>
            </a:graphic>
          </wp:inline>
        </w:drawing>
      </w:r>
    </w:p>
    <w:p w14:paraId="1FFCEF97" w14:textId="77777777" w:rsidR="003D56E8" w:rsidRPr="00986EB0" w:rsidRDefault="003D56E8">
      <w:pPr>
        <w:pBdr>
          <w:top w:val="nil"/>
          <w:left w:val="nil"/>
          <w:bottom w:val="nil"/>
          <w:right w:val="nil"/>
          <w:between w:val="nil"/>
        </w:pBdr>
        <w:rPr>
          <w:rFonts w:ascii="Arial" w:hAnsi="Arial" w:cs="Arial"/>
          <w:color w:val="000000"/>
          <w:sz w:val="28"/>
          <w:szCs w:val="28"/>
        </w:rPr>
      </w:pPr>
    </w:p>
    <w:p w14:paraId="45804899" w14:textId="77777777" w:rsidR="003D56E8" w:rsidRPr="00986EB0" w:rsidRDefault="00AA767F" w:rsidP="009838D8">
      <w:pPr>
        <w:pStyle w:val="Titre1"/>
        <w:spacing w:before="89"/>
        <w:ind w:left="451" w:right="-100"/>
        <w:jc w:val="left"/>
        <w:rPr>
          <w:rFonts w:ascii="Arial" w:hAnsi="Arial" w:cs="Arial"/>
        </w:rPr>
      </w:pPr>
      <w:bookmarkStart w:id="1" w:name="bookmark=id.30j0zll" w:colFirst="0" w:colLast="0"/>
      <w:bookmarkEnd w:id="1"/>
      <w:r w:rsidRPr="00986EB0">
        <w:rPr>
          <w:rFonts w:ascii="Arial" w:eastAsia="Gadugi" w:hAnsi="Arial" w:cs="Arial"/>
          <w:lang w:bidi="fr-CA"/>
        </w:rPr>
        <w:t>Rapport à la ministre responsable de la Société d’énergie Qulliq portant sur la :</w:t>
      </w:r>
    </w:p>
    <w:p w14:paraId="656E0021" w14:textId="77777777" w:rsidR="003D56E8" w:rsidRPr="00986EB0" w:rsidRDefault="003D56E8">
      <w:pPr>
        <w:pBdr>
          <w:top w:val="nil"/>
          <w:left w:val="nil"/>
          <w:bottom w:val="nil"/>
          <w:right w:val="nil"/>
          <w:between w:val="nil"/>
        </w:pBdr>
        <w:spacing w:before="9"/>
        <w:rPr>
          <w:rFonts w:ascii="Arial" w:hAnsi="Arial" w:cs="Arial"/>
          <w:b/>
          <w:color w:val="000000"/>
          <w:sz w:val="27"/>
          <w:szCs w:val="27"/>
        </w:rPr>
      </w:pPr>
    </w:p>
    <w:p w14:paraId="4807D711" w14:textId="09B2BA79" w:rsidR="003D56E8" w:rsidRPr="00986EB0" w:rsidRDefault="00AA767F">
      <w:pPr>
        <w:spacing w:line="242" w:lineRule="auto"/>
        <w:ind w:left="515" w:right="519"/>
        <w:jc w:val="center"/>
        <w:rPr>
          <w:rFonts w:ascii="Arial" w:hAnsi="Arial" w:cs="Arial"/>
          <w:b/>
          <w:sz w:val="28"/>
          <w:szCs w:val="28"/>
        </w:rPr>
      </w:pPr>
      <w:proofErr w:type="gramStart"/>
      <w:r w:rsidRPr="00986EB0">
        <w:rPr>
          <w:rFonts w:ascii="Arial" w:eastAsia="Gadugi" w:hAnsi="Arial" w:cs="Arial"/>
          <w:b/>
          <w:sz w:val="28"/>
          <w:lang w:bidi="fr-CA"/>
        </w:rPr>
        <w:t>demande</w:t>
      </w:r>
      <w:proofErr w:type="gramEnd"/>
      <w:r w:rsidRPr="00986EB0">
        <w:rPr>
          <w:rFonts w:ascii="Arial" w:eastAsia="Gadugi" w:hAnsi="Arial" w:cs="Arial"/>
          <w:b/>
          <w:sz w:val="28"/>
          <w:lang w:bidi="fr-CA"/>
        </w:rPr>
        <w:t xml:space="preserve"> de structure tarifaire pour les producteurs d</w:t>
      </w:r>
      <w:r w:rsidR="00DE3A58" w:rsidRPr="00986EB0">
        <w:rPr>
          <w:rFonts w:ascii="Arial" w:eastAsia="Gadugi" w:hAnsi="Arial" w:cs="Arial"/>
          <w:b/>
          <w:sz w:val="28"/>
          <w:lang w:bidi="fr-CA"/>
        </w:rPr>
        <w:t>’</w:t>
      </w:r>
      <w:r w:rsidRPr="00986EB0">
        <w:rPr>
          <w:rFonts w:ascii="Arial" w:eastAsia="Gadugi" w:hAnsi="Arial" w:cs="Arial"/>
          <w:b/>
          <w:sz w:val="28"/>
          <w:lang w:bidi="fr-CA"/>
        </w:rPr>
        <w:t>électricité commerciaux et institutionnels</w:t>
      </w:r>
    </w:p>
    <w:p w14:paraId="6FD28249" w14:textId="77777777" w:rsidR="003D56E8" w:rsidRPr="00986EB0" w:rsidRDefault="003D56E8">
      <w:pPr>
        <w:pBdr>
          <w:top w:val="nil"/>
          <w:left w:val="nil"/>
          <w:bottom w:val="nil"/>
          <w:right w:val="nil"/>
          <w:between w:val="nil"/>
        </w:pBdr>
        <w:rPr>
          <w:rFonts w:ascii="Arial" w:hAnsi="Arial" w:cs="Arial"/>
          <w:b/>
          <w:color w:val="000000"/>
          <w:sz w:val="30"/>
          <w:szCs w:val="30"/>
        </w:rPr>
      </w:pPr>
    </w:p>
    <w:p w14:paraId="79DD25EC" w14:textId="77777777" w:rsidR="003D56E8" w:rsidRPr="00986EB0" w:rsidRDefault="003D56E8">
      <w:pPr>
        <w:pBdr>
          <w:top w:val="nil"/>
          <w:left w:val="nil"/>
          <w:bottom w:val="nil"/>
          <w:right w:val="nil"/>
          <w:between w:val="nil"/>
        </w:pBdr>
        <w:spacing w:before="7"/>
        <w:rPr>
          <w:rFonts w:ascii="Arial" w:hAnsi="Arial" w:cs="Arial"/>
          <w:b/>
          <w:color w:val="000000"/>
          <w:sz w:val="25"/>
          <w:szCs w:val="25"/>
        </w:rPr>
      </w:pPr>
    </w:p>
    <w:p w14:paraId="3404D53B" w14:textId="77777777" w:rsidR="003D56E8" w:rsidRPr="00986EB0" w:rsidRDefault="00AA767F">
      <w:pPr>
        <w:ind w:left="515" w:right="515"/>
        <w:jc w:val="center"/>
        <w:rPr>
          <w:rFonts w:ascii="Arial" w:hAnsi="Arial" w:cs="Arial"/>
          <w:b/>
          <w:sz w:val="32"/>
          <w:szCs w:val="32"/>
        </w:rPr>
      </w:pPr>
      <w:r w:rsidRPr="00986EB0">
        <w:rPr>
          <w:rFonts w:ascii="Arial" w:eastAsia="Gadugi" w:hAnsi="Arial" w:cs="Arial"/>
          <w:b/>
          <w:sz w:val="32"/>
          <w:lang w:bidi="fr-CA"/>
        </w:rPr>
        <w:t>Rapport n</w:t>
      </w:r>
      <w:r w:rsidRPr="00986EB0">
        <w:rPr>
          <w:rFonts w:ascii="Arial" w:eastAsia="Gadugi" w:hAnsi="Arial" w:cs="Arial"/>
          <w:b/>
          <w:sz w:val="32"/>
          <w:vertAlign w:val="superscript"/>
          <w:lang w:bidi="fr-CA"/>
        </w:rPr>
        <w:t>o</w:t>
      </w:r>
      <w:r w:rsidRPr="00986EB0">
        <w:rPr>
          <w:rFonts w:ascii="Arial" w:eastAsia="Gadugi" w:hAnsi="Arial" w:cs="Arial"/>
          <w:b/>
          <w:sz w:val="32"/>
          <w:lang w:bidi="fr-CA"/>
        </w:rPr>
        <w:t> 2020-04</w:t>
      </w:r>
    </w:p>
    <w:p w14:paraId="38751412"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7E8FD5FF"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6F118135"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0D96CBE9"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6D1974A5"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049CD754"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0FFD6EE3"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0893A4E1"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2328F7E0" w14:textId="77777777" w:rsidR="003D56E8" w:rsidRPr="00986EB0" w:rsidRDefault="003D56E8">
      <w:pPr>
        <w:pBdr>
          <w:top w:val="nil"/>
          <w:left w:val="nil"/>
          <w:bottom w:val="nil"/>
          <w:right w:val="nil"/>
          <w:between w:val="nil"/>
        </w:pBdr>
        <w:rPr>
          <w:rFonts w:ascii="Arial" w:hAnsi="Arial" w:cs="Arial"/>
          <w:b/>
          <w:color w:val="000000"/>
          <w:sz w:val="34"/>
          <w:szCs w:val="34"/>
        </w:rPr>
      </w:pPr>
    </w:p>
    <w:p w14:paraId="75B9FF53" w14:textId="6C1C2902" w:rsidR="003D56E8" w:rsidRPr="00986EB0" w:rsidRDefault="00AA767F">
      <w:pPr>
        <w:pStyle w:val="Titre1"/>
        <w:spacing w:before="204"/>
        <w:ind w:right="515" w:firstLine="515"/>
        <w:rPr>
          <w:rFonts w:ascii="Arial" w:hAnsi="Arial" w:cs="Arial"/>
        </w:rPr>
      </w:pPr>
      <w:r w:rsidRPr="00986EB0">
        <w:rPr>
          <w:rFonts w:ascii="Arial" w:eastAsia="Gadugi" w:hAnsi="Arial" w:cs="Arial"/>
          <w:lang w:bidi="fr-CA"/>
        </w:rPr>
        <w:t>6 octobre 2020</w:t>
      </w:r>
    </w:p>
    <w:p w14:paraId="7B8500C5" w14:textId="77777777" w:rsidR="003D56E8" w:rsidRPr="00986EB0" w:rsidRDefault="003D56E8">
      <w:pPr>
        <w:rPr>
          <w:rFonts w:ascii="Arial" w:hAnsi="Arial" w:cs="Arial"/>
        </w:rPr>
        <w:sectPr w:rsidR="003D56E8" w:rsidRPr="00986EB0">
          <w:pgSz w:w="12240" w:h="15840"/>
          <w:pgMar w:top="1500" w:right="1420" w:bottom="280" w:left="1200" w:header="720" w:footer="720" w:gutter="0"/>
          <w:cols w:space="720" w:equalWidth="0">
            <w:col w:w="9360"/>
          </w:cols>
        </w:sectPr>
      </w:pPr>
    </w:p>
    <w:p w14:paraId="387B7BE1" w14:textId="77777777" w:rsidR="003D56E8" w:rsidRPr="00986EB0" w:rsidRDefault="00AA767F">
      <w:pPr>
        <w:pStyle w:val="Titre2"/>
        <w:spacing w:before="79"/>
        <w:ind w:left="515" w:right="519"/>
        <w:jc w:val="center"/>
        <w:rPr>
          <w:rFonts w:ascii="Arial" w:hAnsi="Arial" w:cs="Arial"/>
        </w:rPr>
      </w:pPr>
      <w:bookmarkStart w:id="2" w:name="bookmark=id.1fob9te" w:colFirst="0" w:colLast="0"/>
      <w:bookmarkEnd w:id="2"/>
      <w:r w:rsidRPr="00986EB0">
        <w:rPr>
          <w:rFonts w:ascii="Arial" w:eastAsia="Gadugi" w:hAnsi="Arial" w:cs="Arial"/>
          <w:lang w:bidi="fr-CA"/>
        </w:rPr>
        <w:lastRenderedPageBreak/>
        <w:t>CONSEIL D’EXAMEN DES TAUX DES ENTREPRISES DE SERVICES DU NUNAVUT</w:t>
      </w:r>
    </w:p>
    <w:p w14:paraId="744C3962" w14:textId="4CD14873" w:rsidR="003D56E8" w:rsidRPr="00986EB0" w:rsidRDefault="003D56E8">
      <w:pPr>
        <w:pBdr>
          <w:top w:val="nil"/>
          <w:left w:val="nil"/>
          <w:bottom w:val="nil"/>
          <w:right w:val="nil"/>
          <w:between w:val="nil"/>
        </w:pBdr>
        <w:rPr>
          <w:rFonts w:ascii="Arial" w:hAnsi="Arial" w:cs="Arial"/>
          <w:b/>
          <w:color w:val="000000"/>
          <w:sz w:val="20"/>
          <w:szCs w:val="20"/>
        </w:rPr>
      </w:pPr>
    </w:p>
    <w:p w14:paraId="13D53B85" w14:textId="76592BB0" w:rsidR="006157F0" w:rsidRPr="00986EB0" w:rsidRDefault="006157F0">
      <w:pPr>
        <w:pBdr>
          <w:top w:val="nil"/>
          <w:left w:val="nil"/>
          <w:bottom w:val="nil"/>
          <w:right w:val="nil"/>
          <w:between w:val="nil"/>
        </w:pBdr>
        <w:rPr>
          <w:rFonts w:ascii="Arial" w:hAnsi="Arial" w:cs="Arial"/>
          <w:b/>
          <w:color w:val="000000"/>
          <w:sz w:val="20"/>
          <w:szCs w:val="20"/>
        </w:rPr>
      </w:pPr>
    </w:p>
    <w:p w14:paraId="55EDFEFD" w14:textId="77777777" w:rsidR="006157F0" w:rsidRPr="00986EB0" w:rsidRDefault="006157F0">
      <w:pPr>
        <w:pBdr>
          <w:top w:val="nil"/>
          <w:left w:val="nil"/>
          <w:bottom w:val="nil"/>
          <w:right w:val="nil"/>
          <w:between w:val="nil"/>
        </w:pBdr>
        <w:rPr>
          <w:rFonts w:ascii="Arial" w:hAnsi="Arial" w:cs="Arial"/>
          <w:b/>
          <w:color w:val="000000"/>
          <w:sz w:val="20"/>
          <w:szCs w:val="20"/>
        </w:rPr>
      </w:pPr>
    </w:p>
    <w:p w14:paraId="1B81CAC5" w14:textId="77777777" w:rsidR="003D56E8" w:rsidRPr="00986EB0" w:rsidRDefault="003D56E8">
      <w:pPr>
        <w:pBdr>
          <w:top w:val="nil"/>
          <w:left w:val="nil"/>
          <w:bottom w:val="nil"/>
          <w:right w:val="nil"/>
          <w:between w:val="nil"/>
        </w:pBdr>
        <w:rPr>
          <w:rFonts w:ascii="Arial" w:hAnsi="Arial" w:cs="Arial"/>
          <w:b/>
          <w:color w:val="000000"/>
          <w:sz w:val="20"/>
          <w:szCs w:val="20"/>
        </w:rPr>
      </w:pPr>
    </w:p>
    <w:p w14:paraId="5D4CA3E2" w14:textId="77777777" w:rsidR="003D56E8" w:rsidRPr="00986EB0" w:rsidRDefault="003D56E8">
      <w:pPr>
        <w:rPr>
          <w:rFonts w:ascii="Arial" w:hAnsi="Arial" w:cs="Arial"/>
          <w:sz w:val="20"/>
          <w:szCs w:val="20"/>
        </w:rPr>
        <w:sectPr w:rsidR="003D56E8" w:rsidRPr="00986EB0">
          <w:pgSz w:w="12240" w:h="15840"/>
          <w:pgMar w:top="1420" w:right="1420" w:bottom="280" w:left="1200" w:header="720" w:footer="720" w:gutter="0"/>
          <w:cols w:space="720" w:equalWidth="0">
            <w:col w:w="9360"/>
          </w:cols>
        </w:sectPr>
      </w:pPr>
    </w:p>
    <w:p w14:paraId="6037F768" w14:textId="77777777" w:rsidR="003D56E8" w:rsidRPr="00986EB0" w:rsidRDefault="003D56E8">
      <w:pPr>
        <w:pBdr>
          <w:top w:val="nil"/>
          <w:left w:val="nil"/>
          <w:bottom w:val="nil"/>
          <w:right w:val="nil"/>
          <w:between w:val="nil"/>
        </w:pBdr>
        <w:spacing w:before="1"/>
        <w:rPr>
          <w:rFonts w:ascii="Arial" w:hAnsi="Arial" w:cs="Arial"/>
          <w:b/>
          <w:color w:val="000000"/>
          <w:sz w:val="23"/>
          <w:szCs w:val="23"/>
        </w:rPr>
      </w:pPr>
    </w:p>
    <w:p w14:paraId="5E1B369B" w14:textId="77777777" w:rsidR="003D56E8" w:rsidRPr="00986EB0" w:rsidRDefault="00AA767F">
      <w:pPr>
        <w:ind w:left="240"/>
        <w:rPr>
          <w:rFonts w:ascii="Arial" w:hAnsi="Arial" w:cs="Arial"/>
          <w:b/>
          <w:sz w:val="24"/>
          <w:szCs w:val="24"/>
        </w:rPr>
      </w:pPr>
      <w:r w:rsidRPr="00986EB0">
        <w:rPr>
          <w:rFonts w:ascii="Arial" w:eastAsia="Gadugi" w:hAnsi="Arial" w:cs="Arial"/>
          <w:b/>
          <w:sz w:val="24"/>
          <w:u w:val="single"/>
          <w:lang w:bidi="fr-CA"/>
        </w:rPr>
        <w:t>MEMBRES</w:t>
      </w:r>
    </w:p>
    <w:p w14:paraId="550AD2BE" w14:textId="77777777" w:rsidR="003D56E8" w:rsidRPr="00986EB0" w:rsidRDefault="00AA767F">
      <w:pPr>
        <w:pBdr>
          <w:top w:val="nil"/>
          <w:left w:val="nil"/>
          <w:bottom w:val="nil"/>
          <w:right w:val="nil"/>
          <w:between w:val="nil"/>
        </w:pBdr>
        <w:rPr>
          <w:rFonts w:ascii="Arial" w:hAnsi="Arial" w:cs="Arial"/>
          <w:b/>
          <w:color w:val="000000"/>
          <w:sz w:val="26"/>
          <w:szCs w:val="26"/>
        </w:rPr>
      </w:pPr>
      <w:r w:rsidRPr="00986EB0">
        <w:rPr>
          <w:rFonts w:ascii="Arial" w:eastAsia="Gadugi" w:hAnsi="Arial" w:cs="Arial"/>
          <w:lang w:bidi="fr-CA"/>
        </w:rPr>
        <w:br w:type="column"/>
      </w:r>
    </w:p>
    <w:p w14:paraId="1B439539" w14:textId="77777777" w:rsidR="003D56E8" w:rsidRPr="00986EB0" w:rsidRDefault="00AA767F" w:rsidP="00D12C74">
      <w:pPr>
        <w:pBdr>
          <w:top w:val="nil"/>
          <w:left w:val="nil"/>
          <w:bottom w:val="nil"/>
          <w:right w:val="nil"/>
          <w:between w:val="nil"/>
        </w:pBdr>
        <w:tabs>
          <w:tab w:val="left" w:pos="1440"/>
        </w:tabs>
        <w:spacing w:before="228"/>
        <w:ind w:left="-1440"/>
        <w:rPr>
          <w:rFonts w:ascii="Arial" w:hAnsi="Arial" w:cs="Arial"/>
          <w:color w:val="000000"/>
          <w:sz w:val="24"/>
          <w:szCs w:val="24"/>
        </w:rPr>
      </w:pPr>
      <w:r w:rsidRPr="00986EB0">
        <w:rPr>
          <w:rFonts w:ascii="Arial" w:eastAsia="Gadugi" w:hAnsi="Arial" w:cs="Arial"/>
          <w:sz w:val="24"/>
          <w:lang w:bidi="fr-CA"/>
        </w:rPr>
        <w:t>Anthony Rose</w:t>
      </w:r>
      <w:r w:rsidRPr="00986EB0">
        <w:rPr>
          <w:rFonts w:ascii="Arial" w:eastAsia="Gadugi" w:hAnsi="Arial" w:cs="Arial"/>
          <w:sz w:val="24"/>
          <w:lang w:bidi="fr-CA"/>
        </w:rPr>
        <w:tab/>
        <w:t>Président</w:t>
      </w:r>
    </w:p>
    <w:p w14:paraId="0AC06927" w14:textId="77777777" w:rsidR="003D56E8" w:rsidRPr="00986EB0" w:rsidRDefault="00AA767F" w:rsidP="00D12C74">
      <w:pPr>
        <w:pBdr>
          <w:top w:val="nil"/>
          <w:left w:val="nil"/>
          <w:bottom w:val="nil"/>
          <w:right w:val="nil"/>
          <w:between w:val="nil"/>
        </w:pBdr>
        <w:tabs>
          <w:tab w:val="left" w:pos="1440"/>
        </w:tabs>
        <w:spacing w:before="139"/>
        <w:ind w:left="-1440"/>
        <w:rPr>
          <w:rFonts w:ascii="Arial" w:hAnsi="Arial" w:cs="Arial"/>
          <w:color w:val="000000"/>
          <w:sz w:val="24"/>
          <w:szCs w:val="24"/>
        </w:rPr>
      </w:pPr>
      <w:r w:rsidRPr="00986EB0">
        <w:rPr>
          <w:rFonts w:ascii="Arial" w:eastAsia="Gadugi" w:hAnsi="Arial" w:cs="Arial"/>
          <w:sz w:val="24"/>
          <w:lang w:bidi="fr-CA"/>
        </w:rPr>
        <w:t>Graham Lock</w:t>
      </w:r>
      <w:r w:rsidRPr="00986EB0">
        <w:rPr>
          <w:rFonts w:ascii="Arial" w:eastAsia="Gadugi" w:hAnsi="Arial" w:cs="Arial"/>
          <w:sz w:val="24"/>
          <w:lang w:bidi="fr-CA"/>
        </w:rPr>
        <w:tab/>
        <w:t>Vice-président</w:t>
      </w:r>
    </w:p>
    <w:p w14:paraId="128EAE8C" w14:textId="77777777" w:rsidR="003D56E8" w:rsidRPr="00986EB0" w:rsidRDefault="00AA767F" w:rsidP="00D12C74">
      <w:pPr>
        <w:pBdr>
          <w:top w:val="nil"/>
          <w:left w:val="nil"/>
          <w:bottom w:val="nil"/>
          <w:right w:val="nil"/>
          <w:between w:val="nil"/>
        </w:pBdr>
        <w:tabs>
          <w:tab w:val="left" w:pos="1440"/>
        </w:tabs>
        <w:spacing w:before="140"/>
        <w:ind w:left="-1440"/>
        <w:rPr>
          <w:rFonts w:ascii="Arial" w:hAnsi="Arial" w:cs="Arial"/>
          <w:color w:val="000000"/>
          <w:sz w:val="24"/>
          <w:szCs w:val="24"/>
        </w:rPr>
      </w:pPr>
      <w:proofErr w:type="spellStart"/>
      <w:r w:rsidRPr="00986EB0">
        <w:rPr>
          <w:rFonts w:ascii="Arial" w:eastAsia="Gadugi" w:hAnsi="Arial" w:cs="Arial"/>
          <w:sz w:val="24"/>
          <w:lang w:bidi="fr-CA"/>
        </w:rPr>
        <w:t>Robbin</w:t>
      </w:r>
      <w:proofErr w:type="spellEnd"/>
      <w:r w:rsidRPr="00986EB0">
        <w:rPr>
          <w:rFonts w:ascii="Arial" w:eastAsia="Gadugi" w:hAnsi="Arial" w:cs="Arial"/>
          <w:sz w:val="24"/>
          <w:lang w:bidi="fr-CA"/>
        </w:rPr>
        <w:t xml:space="preserve"> </w:t>
      </w:r>
      <w:proofErr w:type="spellStart"/>
      <w:r w:rsidRPr="00986EB0">
        <w:rPr>
          <w:rFonts w:ascii="Arial" w:eastAsia="Gadugi" w:hAnsi="Arial" w:cs="Arial"/>
          <w:sz w:val="24"/>
          <w:lang w:bidi="fr-CA"/>
        </w:rPr>
        <w:t>Sinclaire</w:t>
      </w:r>
      <w:proofErr w:type="spellEnd"/>
      <w:r w:rsidRPr="00986EB0">
        <w:rPr>
          <w:rFonts w:ascii="Arial" w:eastAsia="Gadugi" w:hAnsi="Arial" w:cs="Arial"/>
          <w:sz w:val="24"/>
          <w:lang w:bidi="fr-CA"/>
        </w:rPr>
        <w:tab/>
        <w:t>Membre</w:t>
      </w:r>
    </w:p>
    <w:p w14:paraId="06CAFF3D" w14:textId="77777777" w:rsidR="003D56E8" w:rsidRPr="00986EB0" w:rsidRDefault="00AA767F" w:rsidP="00D12C74">
      <w:pPr>
        <w:pBdr>
          <w:top w:val="nil"/>
          <w:left w:val="nil"/>
          <w:bottom w:val="nil"/>
          <w:right w:val="nil"/>
          <w:between w:val="nil"/>
        </w:pBdr>
        <w:tabs>
          <w:tab w:val="left" w:pos="1440"/>
        </w:tabs>
        <w:spacing w:before="136"/>
        <w:ind w:left="-1440"/>
        <w:rPr>
          <w:rFonts w:ascii="Arial" w:hAnsi="Arial" w:cs="Arial"/>
          <w:color w:val="000000"/>
          <w:sz w:val="24"/>
          <w:szCs w:val="24"/>
        </w:rPr>
      </w:pPr>
      <w:r w:rsidRPr="00986EB0">
        <w:rPr>
          <w:rFonts w:ascii="Arial" w:eastAsia="Gadugi" w:hAnsi="Arial" w:cs="Arial"/>
          <w:sz w:val="24"/>
          <w:lang w:bidi="fr-CA"/>
        </w:rPr>
        <w:t xml:space="preserve">Nadia </w:t>
      </w:r>
      <w:proofErr w:type="spellStart"/>
      <w:r w:rsidRPr="00986EB0">
        <w:rPr>
          <w:rFonts w:ascii="Arial" w:eastAsia="Gadugi" w:hAnsi="Arial" w:cs="Arial"/>
          <w:sz w:val="24"/>
          <w:lang w:bidi="fr-CA"/>
        </w:rPr>
        <w:t>Ciccone</w:t>
      </w:r>
      <w:proofErr w:type="spellEnd"/>
      <w:r w:rsidRPr="00986EB0">
        <w:rPr>
          <w:rFonts w:ascii="Arial" w:eastAsia="Gadugi" w:hAnsi="Arial" w:cs="Arial"/>
          <w:sz w:val="24"/>
          <w:lang w:bidi="fr-CA"/>
        </w:rPr>
        <w:tab/>
        <w:t>Membre</w:t>
      </w:r>
    </w:p>
    <w:p w14:paraId="34AE7A7D" w14:textId="77777777" w:rsidR="003D56E8" w:rsidRPr="00986EB0" w:rsidRDefault="003D56E8">
      <w:pPr>
        <w:pBdr>
          <w:top w:val="nil"/>
          <w:left w:val="nil"/>
          <w:bottom w:val="nil"/>
          <w:right w:val="nil"/>
          <w:between w:val="nil"/>
        </w:pBdr>
        <w:tabs>
          <w:tab w:val="left" w:pos="3218"/>
        </w:tabs>
        <w:spacing w:before="136"/>
        <w:ind w:left="240"/>
        <w:rPr>
          <w:rFonts w:ascii="Arial" w:hAnsi="Arial" w:cs="Arial"/>
          <w:color w:val="000000"/>
          <w:sz w:val="24"/>
          <w:szCs w:val="24"/>
        </w:rPr>
      </w:pPr>
    </w:p>
    <w:p w14:paraId="249DD126" w14:textId="77777777" w:rsidR="003D56E8" w:rsidRPr="00986EB0" w:rsidRDefault="003D56E8">
      <w:pPr>
        <w:rPr>
          <w:rFonts w:ascii="Arial" w:hAnsi="Arial" w:cs="Arial"/>
        </w:rPr>
        <w:sectPr w:rsidR="003D56E8" w:rsidRPr="00986EB0">
          <w:type w:val="continuous"/>
          <w:pgSz w:w="12240" w:h="15840"/>
          <w:pgMar w:top="1500" w:right="1420" w:bottom="280" w:left="1200" w:header="720" w:footer="720" w:gutter="0"/>
          <w:cols w:num="2" w:space="720" w:equalWidth="0">
            <w:col w:w="3363" w:space="2893"/>
            <w:col w:w="3363" w:space="0"/>
          </w:cols>
        </w:sectPr>
      </w:pPr>
    </w:p>
    <w:p w14:paraId="556D5A12" w14:textId="77777777" w:rsidR="003D56E8" w:rsidRPr="00986EB0" w:rsidRDefault="00AA767F">
      <w:pPr>
        <w:pBdr>
          <w:top w:val="nil"/>
          <w:left w:val="nil"/>
          <w:bottom w:val="nil"/>
          <w:right w:val="nil"/>
          <w:between w:val="nil"/>
        </w:pBdr>
        <w:tabs>
          <w:tab w:val="left" w:pos="3218"/>
        </w:tabs>
        <w:spacing w:before="136"/>
        <w:ind w:left="240"/>
        <w:rPr>
          <w:rFonts w:ascii="Arial" w:hAnsi="Arial" w:cs="Arial"/>
          <w:color w:val="000000"/>
          <w:sz w:val="24"/>
          <w:szCs w:val="24"/>
        </w:rPr>
      </w:pPr>
      <w:r w:rsidRPr="00986EB0">
        <w:rPr>
          <w:rFonts w:ascii="Arial" w:eastAsia="Gadugi" w:hAnsi="Arial" w:cs="Arial"/>
          <w:sz w:val="24"/>
          <w:lang w:bidi="fr-CA"/>
        </w:rPr>
        <w:tab/>
      </w:r>
    </w:p>
    <w:p w14:paraId="5F255860" w14:textId="77777777" w:rsidR="003D56E8" w:rsidRPr="00986EB0" w:rsidRDefault="003D56E8">
      <w:pPr>
        <w:rPr>
          <w:rFonts w:ascii="Arial" w:hAnsi="Arial" w:cs="Arial"/>
        </w:rPr>
        <w:sectPr w:rsidR="003D56E8" w:rsidRPr="00986EB0">
          <w:type w:val="continuous"/>
          <w:pgSz w:w="12240" w:h="15840"/>
          <w:pgMar w:top="1500" w:right="1420" w:bottom="280" w:left="1200" w:header="720" w:footer="720" w:gutter="0"/>
          <w:cols w:num="2" w:space="720" w:equalWidth="0">
            <w:col w:w="3363" w:space="2893"/>
            <w:col w:w="3363" w:space="0"/>
          </w:cols>
        </w:sectPr>
      </w:pPr>
    </w:p>
    <w:p w14:paraId="36BC5409" w14:textId="77777777" w:rsidR="003D56E8" w:rsidRPr="00986EB0" w:rsidRDefault="003D56E8">
      <w:pPr>
        <w:pBdr>
          <w:top w:val="nil"/>
          <w:left w:val="nil"/>
          <w:bottom w:val="nil"/>
          <w:right w:val="nil"/>
          <w:between w:val="nil"/>
        </w:pBdr>
        <w:rPr>
          <w:rFonts w:ascii="Arial" w:hAnsi="Arial" w:cs="Arial"/>
          <w:color w:val="000000"/>
          <w:sz w:val="20"/>
          <w:szCs w:val="20"/>
        </w:rPr>
      </w:pPr>
    </w:p>
    <w:p w14:paraId="71F0AC17" w14:textId="77777777" w:rsidR="003D56E8" w:rsidRPr="00986EB0" w:rsidRDefault="003D56E8">
      <w:pPr>
        <w:pBdr>
          <w:top w:val="nil"/>
          <w:left w:val="nil"/>
          <w:bottom w:val="nil"/>
          <w:right w:val="nil"/>
          <w:between w:val="nil"/>
        </w:pBdr>
        <w:rPr>
          <w:rFonts w:ascii="Arial" w:hAnsi="Arial" w:cs="Arial"/>
          <w:color w:val="000000"/>
          <w:sz w:val="20"/>
          <w:szCs w:val="20"/>
        </w:rPr>
      </w:pPr>
    </w:p>
    <w:p w14:paraId="3906F1DB" w14:textId="77777777" w:rsidR="003D56E8" w:rsidRPr="00986EB0" w:rsidRDefault="003D56E8">
      <w:pPr>
        <w:pBdr>
          <w:top w:val="nil"/>
          <w:left w:val="nil"/>
          <w:bottom w:val="nil"/>
          <w:right w:val="nil"/>
          <w:between w:val="nil"/>
        </w:pBdr>
        <w:rPr>
          <w:rFonts w:ascii="Arial" w:hAnsi="Arial" w:cs="Arial"/>
          <w:color w:val="000000"/>
          <w:sz w:val="20"/>
          <w:szCs w:val="20"/>
        </w:rPr>
      </w:pPr>
    </w:p>
    <w:p w14:paraId="5A793001" w14:textId="77777777" w:rsidR="003D56E8" w:rsidRPr="00986EB0" w:rsidRDefault="003D56E8">
      <w:pPr>
        <w:pBdr>
          <w:top w:val="nil"/>
          <w:left w:val="nil"/>
          <w:bottom w:val="nil"/>
          <w:right w:val="nil"/>
          <w:between w:val="nil"/>
        </w:pBdr>
        <w:rPr>
          <w:rFonts w:ascii="Arial" w:hAnsi="Arial" w:cs="Arial"/>
          <w:color w:val="000000"/>
          <w:sz w:val="20"/>
          <w:szCs w:val="20"/>
        </w:rPr>
      </w:pPr>
    </w:p>
    <w:p w14:paraId="76338135" w14:textId="77777777" w:rsidR="003D56E8" w:rsidRPr="00986EB0" w:rsidRDefault="003D56E8">
      <w:pPr>
        <w:pBdr>
          <w:top w:val="nil"/>
          <w:left w:val="nil"/>
          <w:bottom w:val="nil"/>
          <w:right w:val="nil"/>
          <w:between w:val="nil"/>
        </w:pBdr>
        <w:rPr>
          <w:rFonts w:ascii="Arial" w:hAnsi="Arial" w:cs="Arial"/>
          <w:color w:val="000000"/>
          <w:sz w:val="20"/>
          <w:szCs w:val="20"/>
        </w:rPr>
      </w:pPr>
    </w:p>
    <w:p w14:paraId="30F0CF35" w14:textId="77777777" w:rsidR="003D56E8" w:rsidRPr="00986EB0" w:rsidRDefault="003D56E8">
      <w:pPr>
        <w:rPr>
          <w:rFonts w:ascii="Arial" w:hAnsi="Arial" w:cs="Arial"/>
          <w:sz w:val="20"/>
          <w:szCs w:val="20"/>
        </w:rPr>
        <w:sectPr w:rsidR="003D56E8" w:rsidRPr="00986EB0">
          <w:type w:val="continuous"/>
          <w:pgSz w:w="12240" w:h="15840"/>
          <w:pgMar w:top="1500" w:right="1420" w:bottom="280" w:left="1200" w:header="720" w:footer="720" w:gutter="0"/>
          <w:cols w:space="720" w:equalWidth="0">
            <w:col w:w="9360"/>
          </w:cols>
        </w:sectPr>
      </w:pPr>
    </w:p>
    <w:p w14:paraId="2149EEF6" w14:textId="77777777" w:rsidR="003D56E8" w:rsidRPr="00986EB0" w:rsidRDefault="00AA767F">
      <w:pPr>
        <w:spacing w:before="233"/>
        <w:ind w:left="240"/>
        <w:rPr>
          <w:rFonts w:ascii="Arial" w:hAnsi="Arial" w:cs="Arial"/>
          <w:b/>
          <w:sz w:val="24"/>
          <w:szCs w:val="24"/>
        </w:rPr>
      </w:pPr>
      <w:r w:rsidRPr="00986EB0">
        <w:rPr>
          <w:rFonts w:ascii="Arial" w:eastAsia="Gadugi" w:hAnsi="Arial" w:cs="Arial"/>
          <w:b/>
          <w:sz w:val="24"/>
          <w:u w:val="single"/>
          <w:lang w:bidi="fr-CA"/>
        </w:rPr>
        <w:t>PERSONNEL DE SOUTIEN</w:t>
      </w:r>
    </w:p>
    <w:p w14:paraId="2C610A84" w14:textId="77777777" w:rsidR="003D56E8" w:rsidRPr="00986EB0" w:rsidRDefault="00AA767F">
      <w:pPr>
        <w:pBdr>
          <w:top w:val="nil"/>
          <w:left w:val="nil"/>
          <w:bottom w:val="nil"/>
          <w:right w:val="nil"/>
          <w:between w:val="nil"/>
        </w:pBdr>
        <w:rPr>
          <w:rFonts w:ascii="Arial" w:hAnsi="Arial" w:cs="Arial"/>
          <w:b/>
          <w:color w:val="000000"/>
          <w:sz w:val="26"/>
          <w:szCs w:val="26"/>
        </w:rPr>
      </w:pPr>
      <w:r w:rsidRPr="00986EB0">
        <w:rPr>
          <w:rFonts w:ascii="Arial" w:eastAsia="Gadugi" w:hAnsi="Arial" w:cs="Arial"/>
          <w:lang w:bidi="fr-CA"/>
        </w:rPr>
        <w:br w:type="column"/>
      </w:r>
    </w:p>
    <w:p w14:paraId="21DD37CE" w14:textId="77777777" w:rsidR="003D56E8" w:rsidRPr="00986EB0" w:rsidRDefault="00AA767F" w:rsidP="00D12C74">
      <w:pPr>
        <w:pBdr>
          <w:top w:val="nil"/>
          <w:left w:val="nil"/>
          <w:bottom w:val="nil"/>
          <w:right w:val="nil"/>
          <w:between w:val="nil"/>
        </w:pBdr>
        <w:tabs>
          <w:tab w:val="left" w:pos="1440"/>
        </w:tabs>
        <w:spacing w:before="208"/>
        <w:ind w:left="-1440"/>
        <w:rPr>
          <w:rFonts w:ascii="Arial" w:hAnsi="Arial" w:cs="Arial"/>
          <w:color w:val="000000"/>
          <w:sz w:val="24"/>
          <w:szCs w:val="24"/>
        </w:rPr>
      </w:pPr>
      <w:r w:rsidRPr="00986EB0">
        <w:rPr>
          <w:rFonts w:ascii="Arial" w:eastAsia="Gadugi" w:hAnsi="Arial" w:cs="Arial"/>
          <w:sz w:val="24"/>
          <w:lang w:bidi="fr-CA"/>
        </w:rPr>
        <w:t>Laurie-Anne White</w:t>
      </w:r>
      <w:r w:rsidRPr="00986EB0">
        <w:rPr>
          <w:rFonts w:ascii="Arial" w:eastAsia="Gadugi" w:hAnsi="Arial" w:cs="Arial"/>
          <w:sz w:val="24"/>
          <w:lang w:bidi="fr-CA"/>
        </w:rPr>
        <w:tab/>
        <w:t>Directrice générale</w:t>
      </w:r>
    </w:p>
    <w:p w14:paraId="3EB2A91C" w14:textId="77777777" w:rsidR="003D56E8" w:rsidRPr="00986EB0" w:rsidRDefault="00AA767F" w:rsidP="00D12C74">
      <w:pPr>
        <w:pBdr>
          <w:top w:val="nil"/>
          <w:left w:val="nil"/>
          <w:bottom w:val="nil"/>
          <w:right w:val="nil"/>
          <w:between w:val="nil"/>
        </w:pBdr>
        <w:tabs>
          <w:tab w:val="left" w:pos="1440"/>
        </w:tabs>
        <w:spacing w:before="208"/>
        <w:ind w:left="-1440"/>
        <w:rPr>
          <w:rFonts w:ascii="Arial" w:hAnsi="Arial" w:cs="Arial"/>
          <w:color w:val="000000"/>
          <w:sz w:val="24"/>
          <w:szCs w:val="24"/>
        </w:rPr>
      </w:pPr>
      <w:r w:rsidRPr="00986EB0">
        <w:rPr>
          <w:rFonts w:ascii="Arial" w:eastAsia="Gadugi" w:hAnsi="Arial" w:cs="Arial"/>
          <w:sz w:val="24"/>
          <w:lang w:bidi="fr-CA"/>
        </w:rPr>
        <w:t>Theresa Fox-Mansell</w:t>
      </w:r>
      <w:r w:rsidRPr="00986EB0">
        <w:rPr>
          <w:rFonts w:ascii="Arial" w:eastAsia="Gadugi" w:hAnsi="Arial" w:cs="Arial"/>
          <w:sz w:val="24"/>
          <w:lang w:bidi="fr-CA"/>
        </w:rPr>
        <w:tab/>
        <w:t>Directrice générale par intérim</w:t>
      </w:r>
      <w:r w:rsidRPr="00986EB0">
        <w:rPr>
          <w:rFonts w:ascii="Arial" w:eastAsia="Gadugi" w:hAnsi="Arial" w:cs="Arial"/>
          <w:sz w:val="24"/>
          <w:lang w:bidi="fr-CA"/>
        </w:rPr>
        <w:tab/>
      </w:r>
    </w:p>
    <w:p w14:paraId="670E77C1" w14:textId="77777777" w:rsidR="003D56E8" w:rsidRPr="00986EB0" w:rsidRDefault="00AA767F" w:rsidP="00D12C74">
      <w:pPr>
        <w:pBdr>
          <w:top w:val="nil"/>
          <w:left w:val="nil"/>
          <w:bottom w:val="nil"/>
          <w:right w:val="nil"/>
          <w:between w:val="nil"/>
        </w:pBdr>
        <w:tabs>
          <w:tab w:val="left" w:pos="1440"/>
        </w:tabs>
        <w:spacing w:before="139"/>
        <w:ind w:left="-1440"/>
        <w:rPr>
          <w:rFonts w:ascii="Arial" w:hAnsi="Arial" w:cs="Arial"/>
          <w:color w:val="000000"/>
          <w:sz w:val="24"/>
          <w:szCs w:val="24"/>
        </w:rPr>
      </w:pPr>
      <w:r w:rsidRPr="00986EB0">
        <w:rPr>
          <w:rFonts w:ascii="Arial" w:eastAsia="Gadugi" w:hAnsi="Arial" w:cs="Arial"/>
          <w:sz w:val="24"/>
          <w:lang w:bidi="fr-CA"/>
        </w:rPr>
        <w:t>Wade Vienneau</w:t>
      </w:r>
      <w:r w:rsidRPr="00986EB0">
        <w:rPr>
          <w:rFonts w:ascii="Arial" w:eastAsia="Gadugi" w:hAnsi="Arial" w:cs="Arial"/>
          <w:sz w:val="24"/>
          <w:lang w:bidi="fr-CA"/>
        </w:rPr>
        <w:tab/>
        <w:t>Consultant</w:t>
      </w:r>
    </w:p>
    <w:p w14:paraId="1B4E1FAD" w14:textId="77777777" w:rsidR="003D56E8" w:rsidRPr="00986EB0" w:rsidRDefault="003D56E8">
      <w:pPr>
        <w:rPr>
          <w:rFonts w:ascii="Arial" w:hAnsi="Arial" w:cs="Arial"/>
        </w:rPr>
      </w:pPr>
    </w:p>
    <w:p w14:paraId="31150620" w14:textId="505D0322" w:rsidR="00D3017C" w:rsidRPr="00986EB0" w:rsidRDefault="00D3017C">
      <w:pPr>
        <w:rPr>
          <w:rFonts w:ascii="Arial" w:hAnsi="Arial" w:cs="Arial"/>
        </w:rPr>
        <w:sectPr w:rsidR="00D3017C" w:rsidRPr="00986EB0">
          <w:type w:val="continuous"/>
          <w:pgSz w:w="12240" w:h="15840"/>
          <w:pgMar w:top="1500" w:right="1420" w:bottom="280" w:left="1200" w:header="720" w:footer="720" w:gutter="0"/>
          <w:cols w:num="2" w:space="720" w:equalWidth="0">
            <w:col w:w="3343" w:space="2934"/>
            <w:col w:w="3343" w:space="0"/>
          </w:cols>
        </w:sectPr>
      </w:pPr>
    </w:p>
    <w:p w14:paraId="0E98B964" w14:textId="77777777" w:rsidR="003D56E8" w:rsidRPr="00986EB0" w:rsidRDefault="00AA767F" w:rsidP="00BF701A">
      <w:pPr>
        <w:pStyle w:val="Titre2"/>
        <w:spacing w:before="68"/>
        <w:ind w:left="540"/>
        <w:rPr>
          <w:rFonts w:ascii="Arial" w:hAnsi="Arial" w:cs="Arial"/>
        </w:rPr>
      </w:pPr>
      <w:r w:rsidRPr="00986EB0">
        <w:rPr>
          <w:rFonts w:ascii="Arial" w:eastAsia="Gadugi" w:hAnsi="Arial" w:cs="Arial"/>
          <w:lang w:bidi="fr-CA"/>
        </w:rPr>
        <w:lastRenderedPageBreak/>
        <w:t>LISTE DES ABRÉVIATIONS</w:t>
      </w:r>
    </w:p>
    <w:p w14:paraId="140CFAE9" w14:textId="77777777" w:rsidR="003D56E8" w:rsidRPr="00986EB0" w:rsidRDefault="003D56E8">
      <w:pPr>
        <w:pBdr>
          <w:top w:val="nil"/>
          <w:left w:val="nil"/>
          <w:bottom w:val="nil"/>
          <w:right w:val="nil"/>
          <w:between w:val="nil"/>
        </w:pBdr>
        <w:rPr>
          <w:rFonts w:ascii="Arial" w:hAnsi="Arial" w:cs="Arial"/>
          <w:b/>
          <w:color w:val="000000"/>
          <w:sz w:val="20"/>
          <w:szCs w:val="20"/>
        </w:rPr>
      </w:pPr>
    </w:p>
    <w:p w14:paraId="23022ABC" w14:textId="77777777" w:rsidR="003D56E8" w:rsidRPr="00986EB0" w:rsidRDefault="003D56E8">
      <w:pPr>
        <w:pBdr>
          <w:top w:val="nil"/>
          <w:left w:val="nil"/>
          <w:bottom w:val="nil"/>
          <w:right w:val="nil"/>
          <w:between w:val="nil"/>
        </w:pBdr>
        <w:rPr>
          <w:rFonts w:ascii="Arial" w:hAnsi="Arial" w:cs="Arial"/>
          <w:b/>
          <w:color w:val="000000"/>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768"/>
      </w:tblGrid>
      <w:tr w:rsidR="00891467" w:rsidRPr="00986EB0" w14:paraId="709E9B28" w14:textId="77777777" w:rsidTr="00BF701A">
        <w:trPr>
          <w:jc w:val="center"/>
        </w:trPr>
        <w:tc>
          <w:tcPr>
            <w:tcW w:w="1530" w:type="dxa"/>
          </w:tcPr>
          <w:p w14:paraId="0F408BD5" w14:textId="1EFBE051" w:rsidR="00891467" w:rsidRPr="00986EB0" w:rsidRDefault="00891467" w:rsidP="00FE2CA9">
            <w:pPr>
              <w:ind w:left="160"/>
              <w:rPr>
                <w:rFonts w:ascii="Arial" w:hAnsi="Arial" w:cs="Arial"/>
                <w:color w:val="000000"/>
                <w:sz w:val="24"/>
                <w:szCs w:val="24"/>
              </w:rPr>
            </w:pPr>
            <w:r w:rsidRPr="00986EB0">
              <w:rPr>
                <w:rFonts w:ascii="Arial" w:eastAsia="Gadugi" w:hAnsi="Arial" w:cs="Arial"/>
                <w:sz w:val="24"/>
                <w:lang w:bidi="fr-CA"/>
              </w:rPr>
              <w:t>SCC</w:t>
            </w:r>
          </w:p>
        </w:tc>
        <w:tc>
          <w:tcPr>
            <w:tcW w:w="6768" w:type="dxa"/>
          </w:tcPr>
          <w:p w14:paraId="3A4127BF" w14:textId="5230CE0F" w:rsidR="00891467"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Ministère de l’Environnement – Secrétariat du changement climatique, gouvernement du Nunavut</w:t>
            </w:r>
          </w:p>
        </w:tc>
      </w:tr>
      <w:tr w:rsidR="00891467" w:rsidRPr="00986EB0" w14:paraId="7E52B811" w14:textId="77777777" w:rsidTr="00BF701A">
        <w:trPr>
          <w:jc w:val="center"/>
        </w:trPr>
        <w:tc>
          <w:tcPr>
            <w:tcW w:w="1530" w:type="dxa"/>
          </w:tcPr>
          <w:p w14:paraId="0FB34665" w14:textId="26878D38" w:rsidR="00891467" w:rsidRPr="00986EB0" w:rsidRDefault="00891467" w:rsidP="00FE2CA9">
            <w:pPr>
              <w:ind w:left="160"/>
              <w:rPr>
                <w:rFonts w:ascii="Arial" w:hAnsi="Arial" w:cs="Arial"/>
                <w:color w:val="000000"/>
                <w:sz w:val="24"/>
                <w:szCs w:val="24"/>
              </w:rPr>
            </w:pPr>
            <w:r w:rsidRPr="00986EB0">
              <w:rPr>
                <w:rFonts w:ascii="Arial" w:eastAsia="Gadugi" w:hAnsi="Arial" w:cs="Arial"/>
                <w:sz w:val="24"/>
                <w:lang w:bidi="fr-CA"/>
              </w:rPr>
              <w:t>SCG</w:t>
            </w:r>
          </w:p>
        </w:tc>
        <w:tc>
          <w:tcPr>
            <w:tcW w:w="6768" w:type="dxa"/>
          </w:tcPr>
          <w:p w14:paraId="6BA043B7" w14:textId="52984079" w:rsidR="00891467"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Ministère des Services communautaires et gouvernementaux, gouvernement du Nunavut</w:t>
            </w:r>
          </w:p>
        </w:tc>
      </w:tr>
      <w:tr w:rsidR="00891467" w:rsidRPr="00986EB0" w14:paraId="74B71675" w14:textId="77777777" w:rsidTr="00BF701A">
        <w:trPr>
          <w:jc w:val="center"/>
        </w:trPr>
        <w:tc>
          <w:tcPr>
            <w:tcW w:w="1530" w:type="dxa"/>
          </w:tcPr>
          <w:p w14:paraId="466C564B" w14:textId="4A5A8D15" w:rsidR="00891467" w:rsidRPr="00986EB0" w:rsidRDefault="00891467" w:rsidP="00FE2CA9">
            <w:pPr>
              <w:ind w:left="160"/>
              <w:rPr>
                <w:rFonts w:ascii="Arial" w:hAnsi="Arial" w:cs="Arial"/>
                <w:color w:val="000000"/>
                <w:sz w:val="24"/>
                <w:szCs w:val="24"/>
              </w:rPr>
            </w:pPr>
            <w:r w:rsidRPr="00986EB0">
              <w:rPr>
                <w:rFonts w:ascii="Arial" w:eastAsia="Gadugi" w:hAnsi="Arial" w:cs="Arial"/>
                <w:sz w:val="24"/>
                <w:lang w:bidi="fr-CA"/>
              </w:rPr>
              <w:t>PÉCI</w:t>
            </w:r>
          </w:p>
        </w:tc>
        <w:tc>
          <w:tcPr>
            <w:tcW w:w="6768" w:type="dxa"/>
          </w:tcPr>
          <w:p w14:paraId="4537474C" w14:textId="7DAFEB24" w:rsidR="00891467" w:rsidRPr="00986EB0" w:rsidRDefault="00796F0C" w:rsidP="00FE2CA9">
            <w:pPr>
              <w:pBdr>
                <w:top w:val="nil"/>
                <w:left w:val="nil"/>
                <w:bottom w:val="nil"/>
                <w:right w:val="nil"/>
                <w:between w:val="nil"/>
              </w:pBdr>
              <w:spacing w:before="62" w:after="120"/>
              <w:ind w:left="72"/>
              <w:rPr>
                <w:rFonts w:ascii="Arial" w:hAnsi="Arial" w:cs="Arial"/>
                <w:color w:val="000000"/>
                <w:sz w:val="24"/>
                <w:szCs w:val="24"/>
              </w:rPr>
            </w:pPr>
            <w:r w:rsidRPr="00986EB0">
              <w:rPr>
                <w:rFonts w:ascii="Arial" w:eastAsia="Gadugi" w:hAnsi="Arial" w:cs="Arial"/>
                <w:sz w:val="24"/>
                <w:lang w:bidi="fr-CA"/>
              </w:rPr>
              <w:t>Producteur d’électricité commercial et institutionnel</w:t>
            </w:r>
          </w:p>
        </w:tc>
      </w:tr>
      <w:tr w:rsidR="00891467" w:rsidRPr="00986EB0" w14:paraId="5FE4B3A2" w14:textId="77777777" w:rsidTr="00BF701A">
        <w:trPr>
          <w:jc w:val="center"/>
        </w:trPr>
        <w:tc>
          <w:tcPr>
            <w:tcW w:w="1530" w:type="dxa"/>
          </w:tcPr>
          <w:p w14:paraId="2EE57D44" w14:textId="1947318F" w:rsidR="00891467" w:rsidRPr="00986EB0" w:rsidRDefault="00891467" w:rsidP="00FE2CA9">
            <w:pPr>
              <w:pBdr>
                <w:top w:val="nil"/>
                <w:left w:val="nil"/>
                <w:bottom w:val="nil"/>
                <w:right w:val="nil"/>
                <w:between w:val="nil"/>
              </w:pBdr>
              <w:ind w:left="160"/>
              <w:rPr>
                <w:rFonts w:ascii="Arial" w:hAnsi="Arial" w:cs="Arial"/>
                <w:color w:val="000000"/>
                <w:sz w:val="24"/>
                <w:szCs w:val="24"/>
              </w:rPr>
            </w:pPr>
            <w:r w:rsidRPr="00986EB0">
              <w:rPr>
                <w:rFonts w:ascii="Arial" w:eastAsia="Gadugi" w:hAnsi="Arial" w:cs="Arial"/>
                <w:sz w:val="24"/>
                <w:lang w:bidi="fr-CA"/>
              </w:rPr>
              <w:t>DÉT</w:t>
            </w:r>
          </w:p>
        </w:tc>
        <w:tc>
          <w:tcPr>
            <w:tcW w:w="6768" w:type="dxa"/>
          </w:tcPr>
          <w:p w14:paraId="35036FCC" w14:textId="0A16CE67" w:rsidR="00891467" w:rsidRPr="00986EB0" w:rsidRDefault="00891467" w:rsidP="00FE2CA9">
            <w:pPr>
              <w:pBdr>
                <w:top w:val="nil"/>
                <w:left w:val="nil"/>
                <w:bottom w:val="nil"/>
                <w:right w:val="nil"/>
                <w:between w:val="nil"/>
              </w:pBdr>
              <w:spacing w:before="62" w:after="120"/>
              <w:ind w:left="72"/>
              <w:rPr>
                <w:rFonts w:ascii="Arial" w:hAnsi="Arial" w:cs="Arial"/>
                <w:color w:val="000000"/>
                <w:sz w:val="24"/>
                <w:szCs w:val="24"/>
              </w:rPr>
            </w:pPr>
            <w:r w:rsidRPr="00986EB0">
              <w:rPr>
                <w:rFonts w:ascii="Arial" w:eastAsia="Gadugi" w:hAnsi="Arial" w:cs="Arial"/>
                <w:sz w:val="24"/>
                <w:lang w:bidi="fr-CA"/>
              </w:rPr>
              <w:t>Développement économique et des Transports, gouvernement du Nunavut</w:t>
            </w:r>
          </w:p>
        </w:tc>
      </w:tr>
      <w:tr w:rsidR="00891467" w:rsidRPr="00986EB0" w14:paraId="3F187FBB" w14:textId="77777777" w:rsidTr="00BF701A">
        <w:trPr>
          <w:jc w:val="center"/>
        </w:trPr>
        <w:tc>
          <w:tcPr>
            <w:tcW w:w="1530" w:type="dxa"/>
          </w:tcPr>
          <w:p w14:paraId="63CC357A" w14:textId="2DC3A14F" w:rsidR="00891467" w:rsidRPr="00986EB0" w:rsidRDefault="00796F0C" w:rsidP="00FE2CA9">
            <w:pPr>
              <w:pBdr>
                <w:top w:val="nil"/>
                <w:left w:val="nil"/>
                <w:bottom w:val="nil"/>
                <w:right w:val="nil"/>
                <w:between w:val="nil"/>
              </w:pBdr>
              <w:ind w:left="160"/>
              <w:rPr>
                <w:rFonts w:ascii="Arial" w:hAnsi="Arial" w:cs="Arial"/>
                <w:color w:val="000000"/>
                <w:sz w:val="24"/>
                <w:szCs w:val="24"/>
              </w:rPr>
            </w:pPr>
            <w:r w:rsidRPr="00986EB0">
              <w:rPr>
                <w:rFonts w:ascii="Arial" w:eastAsia="Gadugi" w:hAnsi="Arial" w:cs="Arial"/>
                <w:sz w:val="24"/>
                <w:lang w:bidi="fr-CA"/>
              </w:rPr>
              <w:t>GES</w:t>
            </w:r>
          </w:p>
        </w:tc>
        <w:tc>
          <w:tcPr>
            <w:tcW w:w="6768" w:type="dxa"/>
          </w:tcPr>
          <w:p w14:paraId="2C2C6B2E" w14:textId="684A0466" w:rsidR="00891467" w:rsidRPr="00986EB0" w:rsidRDefault="00796F0C" w:rsidP="00EF501E">
            <w:pPr>
              <w:spacing w:after="120"/>
              <w:ind w:left="72"/>
              <w:rPr>
                <w:rFonts w:ascii="Arial" w:hAnsi="Arial" w:cs="Arial"/>
                <w:color w:val="000000"/>
                <w:sz w:val="24"/>
                <w:szCs w:val="24"/>
              </w:rPr>
            </w:pPr>
            <w:r w:rsidRPr="00986EB0">
              <w:rPr>
                <w:rFonts w:ascii="Arial" w:eastAsia="Gadugi" w:hAnsi="Arial" w:cs="Arial"/>
                <w:sz w:val="24"/>
                <w:lang w:bidi="fr-CA"/>
              </w:rPr>
              <w:t>Gaz à effet de serre</w:t>
            </w:r>
          </w:p>
        </w:tc>
      </w:tr>
      <w:tr w:rsidR="00891467" w:rsidRPr="00986EB0" w14:paraId="2350C6A8" w14:textId="77777777" w:rsidTr="00BF701A">
        <w:trPr>
          <w:jc w:val="center"/>
        </w:trPr>
        <w:tc>
          <w:tcPr>
            <w:tcW w:w="1530" w:type="dxa"/>
          </w:tcPr>
          <w:p w14:paraId="29E8EF5E" w14:textId="5CA37ACC" w:rsidR="00891467"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ALG</w:t>
            </w:r>
          </w:p>
        </w:tc>
        <w:tc>
          <w:tcPr>
            <w:tcW w:w="6768" w:type="dxa"/>
          </w:tcPr>
          <w:p w14:paraId="6833B918" w14:textId="0388689B" w:rsidR="00891467"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Agente ou agent de liaison gouvernementale</w:t>
            </w:r>
          </w:p>
        </w:tc>
      </w:tr>
      <w:tr w:rsidR="00891467" w:rsidRPr="00986EB0" w14:paraId="313B3D8B" w14:textId="77777777" w:rsidTr="00BF701A">
        <w:trPr>
          <w:jc w:val="center"/>
        </w:trPr>
        <w:tc>
          <w:tcPr>
            <w:tcW w:w="1530" w:type="dxa"/>
          </w:tcPr>
          <w:p w14:paraId="6CE1D4F3" w14:textId="634816C7" w:rsidR="00891467"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GN</w:t>
            </w:r>
          </w:p>
        </w:tc>
        <w:tc>
          <w:tcPr>
            <w:tcW w:w="6768" w:type="dxa"/>
          </w:tcPr>
          <w:p w14:paraId="2EB357C7" w14:textId="0AADF0F9" w:rsidR="00891467"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Gouvernement du Nunavut</w:t>
            </w:r>
          </w:p>
        </w:tc>
      </w:tr>
      <w:tr w:rsidR="00891467" w:rsidRPr="00986EB0" w14:paraId="2EC61550" w14:textId="77777777" w:rsidTr="00BF701A">
        <w:trPr>
          <w:jc w:val="center"/>
        </w:trPr>
        <w:tc>
          <w:tcPr>
            <w:tcW w:w="1530" w:type="dxa"/>
          </w:tcPr>
          <w:p w14:paraId="48B4C594" w14:textId="02527DD2" w:rsidR="00891467"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RMTG</w:t>
            </w:r>
          </w:p>
        </w:tc>
        <w:tc>
          <w:tcPr>
            <w:tcW w:w="6768" w:type="dxa"/>
          </w:tcPr>
          <w:p w14:paraId="5A0C8E90" w14:textId="0DA415D0" w:rsidR="00891467"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Requête en majoration tarifaire générale</w:t>
            </w:r>
          </w:p>
        </w:tc>
      </w:tr>
      <w:tr w:rsidR="00796F0C" w:rsidRPr="00986EB0" w14:paraId="7CC15E78" w14:textId="77777777" w:rsidTr="00BF701A">
        <w:trPr>
          <w:jc w:val="center"/>
        </w:trPr>
        <w:tc>
          <w:tcPr>
            <w:tcW w:w="1530" w:type="dxa"/>
          </w:tcPr>
          <w:p w14:paraId="0EA3B792" w14:textId="3FEEB928"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PÉI</w:t>
            </w:r>
          </w:p>
        </w:tc>
        <w:tc>
          <w:tcPr>
            <w:tcW w:w="6768" w:type="dxa"/>
          </w:tcPr>
          <w:p w14:paraId="39C6052D" w14:textId="5EE218DF"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Producteur d’électricité indépendant</w:t>
            </w:r>
          </w:p>
        </w:tc>
      </w:tr>
      <w:tr w:rsidR="00796F0C" w:rsidRPr="00986EB0" w14:paraId="7B13DC69" w14:textId="77777777" w:rsidTr="00BF701A">
        <w:trPr>
          <w:jc w:val="center"/>
        </w:trPr>
        <w:tc>
          <w:tcPr>
            <w:tcW w:w="1530" w:type="dxa"/>
          </w:tcPr>
          <w:p w14:paraId="21521A9B" w14:textId="298DB06D"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DR</w:t>
            </w:r>
          </w:p>
        </w:tc>
        <w:tc>
          <w:tcPr>
            <w:tcW w:w="6768" w:type="dxa"/>
          </w:tcPr>
          <w:p w14:paraId="65D36D45" w14:textId="0094BA57"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Demande de renseignements</w:t>
            </w:r>
          </w:p>
        </w:tc>
      </w:tr>
      <w:tr w:rsidR="00796F0C" w:rsidRPr="00986EB0" w14:paraId="51FC7D6C" w14:textId="77777777" w:rsidTr="00BF701A">
        <w:trPr>
          <w:jc w:val="center"/>
        </w:trPr>
        <w:tc>
          <w:tcPr>
            <w:tcW w:w="1530" w:type="dxa"/>
          </w:tcPr>
          <w:p w14:paraId="562EB323" w14:textId="4C63EFB9" w:rsidR="00796F0C" w:rsidRPr="00986EB0" w:rsidRDefault="00796F0C" w:rsidP="00FE2CA9">
            <w:pPr>
              <w:ind w:left="160"/>
              <w:rPr>
                <w:rFonts w:ascii="Arial" w:hAnsi="Arial" w:cs="Arial"/>
                <w:color w:val="000000"/>
                <w:sz w:val="24"/>
                <w:szCs w:val="24"/>
              </w:rPr>
            </w:pPr>
            <w:proofErr w:type="gramStart"/>
            <w:r w:rsidRPr="00986EB0">
              <w:rPr>
                <w:rFonts w:ascii="Arial" w:eastAsia="Gadugi" w:hAnsi="Arial" w:cs="Arial"/>
                <w:sz w:val="24"/>
                <w:lang w:bidi="fr-CA"/>
              </w:rPr>
              <w:t>kWh</w:t>
            </w:r>
            <w:proofErr w:type="gramEnd"/>
          </w:p>
        </w:tc>
        <w:tc>
          <w:tcPr>
            <w:tcW w:w="6768" w:type="dxa"/>
          </w:tcPr>
          <w:p w14:paraId="589B1EE1" w14:textId="1407FFD0"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Kilowattheure</w:t>
            </w:r>
          </w:p>
        </w:tc>
      </w:tr>
      <w:tr w:rsidR="00796F0C" w:rsidRPr="00986EB0" w14:paraId="091D8B5A" w14:textId="77777777" w:rsidTr="00BF701A">
        <w:trPr>
          <w:jc w:val="center"/>
        </w:trPr>
        <w:tc>
          <w:tcPr>
            <w:tcW w:w="1530" w:type="dxa"/>
          </w:tcPr>
          <w:p w14:paraId="0A6F0BD7" w14:textId="269D8C29"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MAL</w:t>
            </w:r>
          </w:p>
        </w:tc>
        <w:tc>
          <w:tcPr>
            <w:tcW w:w="6768" w:type="dxa"/>
          </w:tcPr>
          <w:p w14:paraId="6125FB10" w14:textId="60782C9F"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Membre de l’Assemblée législative du Nunavut (député)</w:t>
            </w:r>
          </w:p>
        </w:tc>
      </w:tr>
      <w:tr w:rsidR="00796F0C" w:rsidRPr="00986EB0" w14:paraId="7903DA85" w14:textId="77777777" w:rsidTr="00BF701A">
        <w:trPr>
          <w:jc w:val="center"/>
        </w:trPr>
        <w:tc>
          <w:tcPr>
            <w:tcW w:w="1530" w:type="dxa"/>
          </w:tcPr>
          <w:p w14:paraId="4D77BCCF" w14:textId="0B6FCC8D"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AAÉ</w:t>
            </w:r>
          </w:p>
        </w:tc>
        <w:tc>
          <w:tcPr>
            <w:tcW w:w="6768" w:type="dxa"/>
          </w:tcPr>
          <w:p w14:paraId="0593251F" w14:textId="510A991C"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Accord d’achat d’énergie</w:t>
            </w:r>
          </w:p>
        </w:tc>
      </w:tr>
      <w:tr w:rsidR="00796F0C" w:rsidRPr="00986EB0" w14:paraId="2E6EC174" w14:textId="77777777" w:rsidTr="00BF701A">
        <w:trPr>
          <w:jc w:val="center"/>
        </w:trPr>
        <w:tc>
          <w:tcPr>
            <w:tcW w:w="1530" w:type="dxa"/>
          </w:tcPr>
          <w:p w14:paraId="23E30C5D" w14:textId="44FDC3FE"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DPP</w:t>
            </w:r>
          </w:p>
        </w:tc>
        <w:tc>
          <w:tcPr>
            <w:tcW w:w="6768" w:type="dxa"/>
          </w:tcPr>
          <w:p w14:paraId="585E22ED" w14:textId="1FD60FA9"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 xml:space="preserve">Division des produits pétroliers </w:t>
            </w:r>
          </w:p>
        </w:tc>
      </w:tr>
      <w:tr w:rsidR="00796F0C" w:rsidRPr="00986EB0" w14:paraId="15197C18" w14:textId="77777777" w:rsidTr="00BF701A">
        <w:trPr>
          <w:jc w:val="center"/>
        </w:trPr>
        <w:tc>
          <w:tcPr>
            <w:tcW w:w="1530" w:type="dxa"/>
          </w:tcPr>
          <w:p w14:paraId="04B045C7" w14:textId="32AE45BF"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SÉQ</w:t>
            </w:r>
          </w:p>
        </w:tc>
        <w:tc>
          <w:tcPr>
            <w:tcW w:w="6768" w:type="dxa"/>
          </w:tcPr>
          <w:p w14:paraId="797192CB" w14:textId="72239451" w:rsidR="00796F0C" w:rsidRPr="00986EB0" w:rsidRDefault="003C658C" w:rsidP="00FE2CA9">
            <w:pPr>
              <w:spacing w:after="120"/>
              <w:ind w:left="72"/>
              <w:rPr>
                <w:rFonts w:ascii="Arial" w:hAnsi="Arial" w:cs="Arial"/>
                <w:color w:val="000000"/>
                <w:sz w:val="24"/>
                <w:szCs w:val="24"/>
              </w:rPr>
            </w:pPr>
            <w:r w:rsidRPr="00986EB0">
              <w:rPr>
                <w:rFonts w:ascii="Arial" w:eastAsia="Gadugi" w:hAnsi="Arial" w:cs="Arial"/>
                <w:sz w:val="24"/>
                <w:lang w:bidi="fr-CA"/>
              </w:rPr>
              <w:t>Société d’énergie Qulliq</w:t>
            </w:r>
          </w:p>
        </w:tc>
      </w:tr>
      <w:tr w:rsidR="00796F0C" w:rsidRPr="00986EB0" w14:paraId="3BD37BDD" w14:textId="77777777" w:rsidTr="00BF701A">
        <w:trPr>
          <w:jc w:val="center"/>
        </w:trPr>
        <w:tc>
          <w:tcPr>
            <w:tcW w:w="1530" w:type="dxa"/>
          </w:tcPr>
          <w:p w14:paraId="0DBA726C" w14:textId="607FE795"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APA</w:t>
            </w:r>
          </w:p>
        </w:tc>
        <w:tc>
          <w:tcPr>
            <w:tcW w:w="6768" w:type="dxa"/>
          </w:tcPr>
          <w:p w14:paraId="44C45A92" w14:textId="47B2F06A"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Agent principal d’administration/Agente principale d’administration</w:t>
            </w:r>
          </w:p>
        </w:tc>
      </w:tr>
      <w:tr w:rsidR="00796F0C" w:rsidRPr="00986EB0" w14:paraId="06DBBA54" w14:textId="77777777" w:rsidTr="00BF701A">
        <w:trPr>
          <w:jc w:val="center"/>
        </w:trPr>
        <w:tc>
          <w:tcPr>
            <w:tcW w:w="1530" w:type="dxa"/>
          </w:tcPr>
          <w:p w14:paraId="6022D59F" w14:textId="1AB60589"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ETI</w:t>
            </w:r>
          </w:p>
        </w:tc>
        <w:tc>
          <w:tcPr>
            <w:tcW w:w="6768" w:type="dxa"/>
          </w:tcPr>
          <w:p w14:paraId="336A0F5A" w14:textId="591C9AC3"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Exigences techniques d’interconnexion</w:t>
            </w:r>
          </w:p>
        </w:tc>
      </w:tr>
      <w:tr w:rsidR="00796F0C" w:rsidRPr="00986EB0" w14:paraId="18529A1E" w14:textId="77777777" w:rsidTr="00BF701A">
        <w:trPr>
          <w:jc w:val="center"/>
        </w:trPr>
        <w:tc>
          <w:tcPr>
            <w:tcW w:w="1530" w:type="dxa"/>
          </w:tcPr>
          <w:p w14:paraId="3687D8B2" w14:textId="29D5A3E3" w:rsidR="00796F0C" w:rsidRPr="00986EB0" w:rsidRDefault="00796F0C" w:rsidP="00FE2CA9">
            <w:pPr>
              <w:ind w:left="160"/>
              <w:rPr>
                <w:rFonts w:ascii="Arial" w:hAnsi="Arial" w:cs="Arial"/>
                <w:color w:val="000000"/>
                <w:sz w:val="24"/>
                <w:szCs w:val="24"/>
              </w:rPr>
            </w:pPr>
            <w:r w:rsidRPr="00986EB0">
              <w:rPr>
                <w:rFonts w:ascii="Arial" w:eastAsia="Gadugi" w:hAnsi="Arial" w:cs="Arial"/>
                <w:sz w:val="24"/>
                <w:lang w:bidi="fr-CA"/>
              </w:rPr>
              <w:t>CETES</w:t>
            </w:r>
          </w:p>
        </w:tc>
        <w:tc>
          <w:tcPr>
            <w:tcW w:w="6768" w:type="dxa"/>
          </w:tcPr>
          <w:p w14:paraId="1490F6A3" w14:textId="3D96878F" w:rsidR="00796F0C" w:rsidRPr="00986EB0" w:rsidRDefault="00796F0C" w:rsidP="00FE2CA9">
            <w:pPr>
              <w:spacing w:after="120"/>
              <w:ind w:left="72"/>
              <w:rPr>
                <w:rFonts w:ascii="Arial" w:hAnsi="Arial" w:cs="Arial"/>
                <w:color w:val="000000"/>
                <w:sz w:val="24"/>
                <w:szCs w:val="24"/>
              </w:rPr>
            </w:pPr>
            <w:r w:rsidRPr="00986EB0">
              <w:rPr>
                <w:rFonts w:ascii="Arial" w:eastAsia="Gadugi" w:hAnsi="Arial" w:cs="Arial"/>
                <w:sz w:val="24"/>
                <w:lang w:bidi="fr-CA"/>
              </w:rPr>
              <w:t>Conseil d’examen des taux des entreprises de service du Nunavut</w:t>
            </w:r>
          </w:p>
        </w:tc>
      </w:tr>
      <w:tr w:rsidR="00796F0C" w:rsidRPr="00986EB0" w14:paraId="31C1A745" w14:textId="77777777" w:rsidTr="00BF701A">
        <w:trPr>
          <w:jc w:val="center"/>
        </w:trPr>
        <w:tc>
          <w:tcPr>
            <w:tcW w:w="1530" w:type="dxa"/>
          </w:tcPr>
          <w:p w14:paraId="33EF2EA4" w14:textId="620BA55D" w:rsidR="00796F0C" w:rsidRPr="00986EB0" w:rsidRDefault="00BF701A" w:rsidP="00FE2CA9">
            <w:pPr>
              <w:ind w:left="160"/>
              <w:rPr>
                <w:rFonts w:ascii="Arial" w:hAnsi="Arial" w:cs="Arial"/>
                <w:color w:val="000000"/>
                <w:sz w:val="24"/>
                <w:szCs w:val="24"/>
              </w:rPr>
            </w:pPr>
            <w:r w:rsidRPr="00986EB0">
              <w:rPr>
                <w:rFonts w:ascii="Arial" w:eastAsia="Gadugi" w:hAnsi="Arial" w:cs="Arial"/>
                <w:sz w:val="24"/>
                <w:lang w:bidi="fr-CA"/>
              </w:rPr>
              <w:t>Loi sur le CETES</w:t>
            </w:r>
          </w:p>
        </w:tc>
        <w:tc>
          <w:tcPr>
            <w:tcW w:w="6768" w:type="dxa"/>
          </w:tcPr>
          <w:p w14:paraId="79DD16D3" w14:textId="5E9DAA1E" w:rsidR="00796F0C" w:rsidRPr="00986EB0" w:rsidRDefault="00BF701A" w:rsidP="00FE2CA9">
            <w:pPr>
              <w:spacing w:after="120"/>
              <w:ind w:left="72"/>
              <w:rPr>
                <w:rFonts w:ascii="Arial" w:hAnsi="Arial" w:cs="Arial"/>
                <w:color w:val="000000"/>
                <w:sz w:val="24"/>
                <w:szCs w:val="24"/>
              </w:rPr>
            </w:pPr>
            <w:r w:rsidRPr="00986EB0">
              <w:rPr>
                <w:rFonts w:ascii="Arial" w:eastAsia="Gadugi" w:hAnsi="Arial" w:cs="Arial"/>
                <w:i/>
                <w:sz w:val="24"/>
                <w:lang w:bidi="fr-CA"/>
              </w:rPr>
              <w:t>Loi sur le Conseil d</w:t>
            </w:r>
            <w:r w:rsidR="00DE3A58" w:rsidRPr="00986EB0">
              <w:rPr>
                <w:rFonts w:ascii="Arial" w:eastAsia="Gadugi" w:hAnsi="Arial" w:cs="Arial"/>
                <w:i/>
                <w:sz w:val="24"/>
                <w:lang w:bidi="fr-CA"/>
              </w:rPr>
              <w:t>’</w:t>
            </w:r>
            <w:r w:rsidRPr="00986EB0">
              <w:rPr>
                <w:rFonts w:ascii="Arial" w:eastAsia="Gadugi" w:hAnsi="Arial" w:cs="Arial"/>
                <w:i/>
                <w:sz w:val="24"/>
                <w:lang w:bidi="fr-CA"/>
              </w:rPr>
              <w:t>examen des taux des entreprises de services</w:t>
            </w:r>
          </w:p>
        </w:tc>
      </w:tr>
    </w:tbl>
    <w:p w14:paraId="252E291E" w14:textId="03E818E3" w:rsidR="003D56E8" w:rsidRPr="00986EB0" w:rsidRDefault="003D56E8">
      <w:pPr>
        <w:pBdr>
          <w:top w:val="nil"/>
          <w:left w:val="nil"/>
          <w:bottom w:val="nil"/>
          <w:right w:val="nil"/>
          <w:between w:val="nil"/>
        </w:pBdr>
        <w:rPr>
          <w:rFonts w:ascii="Arial" w:hAnsi="Arial" w:cs="Arial"/>
          <w:b/>
          <w:color w:val="000000"/>
          <w:sz w:val="19"/>
          <w:szCs w:val="19"/>
        </w:rPr>
      </w:pPr>
    </w:p>
    <w:p w14:paraId="7A0F7B1A" w14:textId="77777777" w:rsidR="006157F0" w:rsidRPr="00986EB0" w:rsidRDefault="006157F0">
      <w:pPr>
        <w:pBdr>
          <w:top w:val="nil"/>
          <w:left w:val="nil"/>
          <w:bottom w:val="nil"/>
          <w:right w:val="nil"/>
          <w:between w:val="nil"/>
        </w:pBdr>
        <w:rPr>
          <w:rFonts w:ascii="Arial" w:hAnsi="Arial" w:cs="Arial"/>
          <w:b/>
          <w:color w:val="000000"/>
          <w:sz w:val="19"/>
          <w:szCs w:val="19"/>
        </w:rPr>
      </w:pPr>
    </w:p>
    <w:p w14:paraId="02E3F7DE" w14:textId="21809420" w:rsidR="003D56E8" w:rsidRPr="00986EB0" w:rsidRDefault="003D56E8">
      <w:pPr>
        <w:rPr>
          <w:rFonts w:ascii="Arial" w:hAnsi="Arial" w:cs="Arial"/>
          <w:sz w:val="24"/>
          <w:szCs w:val="24"/>
        </w:rPr>
        <w:sectPr w:rsidR="003D56E8" w:rsidRPr="00986EB0">
          <w:pgSz w:w="12240" w:h="15840"/>
          <w:pgMar w:top="1400" w:right="1420" w:bottom="280" w:left="1200" w:header="720" w:footer="720" w:gutter="0"/>
          <w:cols w:space="720" w:equalWidth="0">
            <w:col w:w="9360"/>
          </w:cols>
        </w:sectPr>
      </w:pPr>
    </w:p>
    <w:p w14:paraId="7EA8A4CF" w14:textId="77777777" w:rsidR="003D56E8" w:rsidRPr="00986EB0" w:rsidRDefault="003D56E8">
      <w:pPr>
        <w:pBdr>
          <w:top w:val="nil"/>
          <w:left w:val="nil"/>
          <w:bottom w:val="nil"/>
          <w:right w:val="nil"/>
          <w:between w:val="nil"/>
        </w:pBdr>
        <w:spacing w:before="3"/>
        <w:rPr>
          <w:rFonts w:ascii="Arial" w:hAnsi="Arial" w:cs="Arial"/>
          <w:b/>
          <w:color w:val="000000"/>
          <w:sz w:val="20"/>
          <w:szCs w:val="20"/>
        </w:rPr>
      </w:pPr>
    </w:p>
    <w:p w14:paraId="26C79D01" w14:textId="5CBF48F2" w:rsidR="003D56E8" w:rsidRPr="00986EB0" w:rsidRDefault="00AA767F" w:rsidP="00BF701A">
      <w:pPr>
        <w:spacing w:before="90"/>
        <w:ind w:left="90"/>
        <w:rPr>
          <w:rFonts w:ascii="Arial" w:hAnsi="Arial" w:cs="Arial"/>
          <w:b/>
          <w:sz w:val="24"/>
          <w:szCs w:val="24"/>
        </w:rPr>
      </w:pPr>
      <w:r w:rsidRPr="00986EB0">
        <w:rPr>
          <w:rFonts w:ascii="Arial" w:eastAsia="Gadugi" w:hAnsi="Arial" w:cs="Arial"/>
          <w:b/>
          <w:sz w:val="24"/>
          <w:lang w:bidi="fr-CA"/>
        </w:rPr>
        <w:t xml:space="preserve">TABLE DES MATIÈRES </w:t>
      </w:r>
    </w:p>
    <w:p w14:paraId="51DF9EC9" w14:textId="0ADB5ECA" w:rsidR="00AA724A" w:rsidRPr="00986EB0" w:rsidRDefault="00AA724A">
      <w:pPr>
        <w:spacing w:before="90"/>
        <w:ind w:left="240"/>
        <w:rPr>
          <w:rFonts w:ascii="Arial" w:hAnsi="Arial" w:cs="Arial"/>
          <w:b/>
          <w:sz w:val="24"/>
          <w:szCs w:val="24"/>
        </w:rPr>
      </w:pPr>
    </w:p>
    <w:p w14:paraId="3025DCD6" w14:textId="2C10A78C" w:rsidR="00B438AC" w:rsidRPr="00986EB0" w:rsidRDefault="00AA724A">
      <w:pPr>
        <w:pStyle w:val="TM1"/>
        <w:tabs>
          <w:tab w:val="left" w:pos="1019"/>
          <w:tab w:val="right" w:leader="dot" w:pos="9350"/>
        </w:tabs>
        <w:rPr>
          <w:rFonts w:ascii="Arial" w:eastAsiaTheme="minorEastAsia" w:hAnsi="Arial" w:cs="Arial"/>
          <w:noProof/>
        </w:rPr>
      </w:pPr>
      <w:r w:rsidRPr="00986EB0">
        <w:rPr>
          <w:rFonts w:ascii="Arial" w:eastAsia="Gadugi" w:hAnsi="Arial" w:cs="Arial"/>
          <w:b/>
          <w:sz w:val="24"/>
          <w:lang w:bidi="fr-CA"/>
        </w:rPr>
        <w:fldChar w:fldCharType="begin"/>
      </w:r>
      <w:r w:rsidRPr="00986EB0">
        <w:rPr>
          <w:rFonts w:ascii="Arial" w:eastAsia="Gadugi" w:hAnsi="Arial" w:cs="Arial"/>
          <w:b/>
          <w:sz w:val="24"/>
          <w:lang w:bidi="fr-CA"/>
        </w:rPr>
        <w:instrText xml:space="preserve"> TOC \h \z \t "URRC_Heading 1,1,URRC_Heading 2,2" </w:instrText>
      </w:r>
      <w:r w:rsidRPr="00986EB0">
        <w:rPr>
          <w:rFonts w:ascii="Arial" w:eastAsia="Gadugi" w:hAnsi="Arial" w:cs="Arial"/>
          <w:b/>
          <w:sz w:val="24"/>
          <w:lang w:bidi="fr-CA"/>
        </w:rPr>
        <w:fldChar w:fldCharType="separate"/>
      </w:r>
      <w:hyperlink w:anchor="_Toc52808114" w:history="1">
        <w:r w:rsidR="00B438AC" w:rsidRPr="00986EB0">
          <w:rPr>
            <w:rStyle w:val="Lienhypertexte"/>
            <w:rFonts w:ascii="Arial" w:eastAsia="Gadugi" w:hAnsi="Arial" w:cs="Arial"/>
            <w:noProof/>
            <w:lang w:bidi="fr-CA"/>
          </w:rPr>
          <w:t>1.0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BACKGROUND</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_Toc52808114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1</w:t>
        </w:r>
        <w:r w:rsidR="00B438AC" w:rsidRPr="00986EB0">
          <w:rPr>
            <w:rFonts w:ascii="Arial" w:eastAsia="Gadugi" w:hAnsi="Arial" w:cs="Arial"/>
            <w:noProof/>
            <w:webHidden/>
            <w:lang w:bidi="fr-CA"/>
          </w:rPr>
          <w:fldChar w:fldCharType="end"/>
        </w:r>
      </w:hyperlink>
    </w:p>
    <w:p w14:paraId="3795C753" w14:textId="7C2433E4" w:rsidR="00B438AC" w:rsidRPr="00986EB0" w:rsidRDefault="00EC7838">
      <w:pPr>
        <w:pStyle w:val="TM1"/>
        <w:tabs>
          <w:tab w:val="left" w:pos="1019"/>
          <w:tab w:val="right" w:leader="dot" w:pos="9350"/>
        </w:tabs>
        <w:rPr>
          <w:rFonts w:ascii="Arial" w:eastAsiaTheme="minorEastAsia" w:hAnsi="Arial" w:cs="Arial"/>
          <w:noProof/>
        </w:rPr>
      </w:pPr>
      <w:hyperlink w:anchor="_Toc52808115" w:history="1">
        <w:r w:rsidR="00B438AC" w:rsidRPr="00986EB0">
          <w:rPr>
            <w:rStyle w:val="Lienhypertexte"/>
            <w:rFonts w:ascii="Arial" w:eastAsia="Gadugi" w:hAnsi="Arial" w:cs="Arial"/>
            <w:noProof/>
            <w:lang w:bidi="fr-CA"/>
          </w:rPr>
          <w:t>2.0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PARTICULARS OF THE APPLICATION</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_Toc52808115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2</w:t>
        </w:r>
        <w:r w:rsidR="00B438AC" w:rsidRPr="00986EB0">
          <w:rPr>
            <w:rFonts w:ascii="Arial" w:eastAsia="Gadugi" w:hAnsi="Arial" w:cs="Arial"/>
            <w:noProof/>
            <w:webHidden/>
            <w:lang w:bidi="fr-CA"/>
          </w:rPr>
          <w:fldChar w:fldCharType="end"/>
        </w:r>
      </w:hyperlink>
    </w:p>
    <w:p w14:paraId="080C7CDE" w14:textId="593E9028" w:rsidR="00B438AC" w:rsidRPr="00986EB0" w:rsidRDefault="00EC7838">
      <w:pPr>
        <w:pStyle w:val="TM1"/>
        <w:tabs>
          <w:tab w:val="left" w:pos="1019"/>
          <w:tab w:val="right" w:leader="dot" w:pos="9350"/>
        </w:tabs>
        <w:rPr>
          <w:rFonts w:ascii="Arial" w:eastAsiaTheme="minorEastAsia" w:hAnsi="Arial" w:cs="Arial"/>
          <w:noProof/>
        </w:rPr>
      </w:pPr>
      <w:hyperlink w:anchor="_Toc52808116" w:history="1">
        <w:r w:rsidR="00B438AC" w:rsidRPr="00986EB0">
          <w:rPr>
            <w:rStyle w:val="Lienhypertexte"/>
            <w:rFonts w:ascii="Arial" w:eastAsia="Gadugi" w:hAnsi="Arial" w:cs="Arial"/>
            <w:noProof/>
            <w:lang w:bidi="fr-CA"/>
          </w:rPr>
          <w:t>3.0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PROCESS</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_Toc52808116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4</w:t>
        </w:r>
        <w:r w:rsidR="00B438AC" w:rsidRPr="00986EB0">
          <w:rPr>
            <w:rFonts w:ascii="Arial" w:eastAsia="Gadugi" w:hAnsi="Arial" w:cs="Arial"/>
            <w:noProof/>
            <w:webHidden/>
            <w:lang w:bidi="fr-CA"/>
          </w:rPr>
          <w:fldChar w:fldCharType="end"/>
        </w:r>
      </w:hyperlink>
    </w:p>
    <w:p w14:paraId="621F0F96" w14:textId="7185D757" w:rsidR="00B438AC" w:rsidRPr="00986EB0" w:rsidRDefault="00EC7838">
      <w:pPr>
        <w:pStyle w:val="TM2"/>
        <w:tabs>
          <w:tab w:val="right" w:leader="dot" w:pos="9350"/>
        </w:tabs>
        <w:rPr>
          <w:rFonts w:ascii="Arial" w:eastAsiaTheme="minorEastAsia" w:hAnsi="Arial" w:cs="Arial"/>
          <w:noProof/>
        </w:rPr>
      </w:pPr>
      <w:hyperlink w:anchor="_Toc52808117" w:history="1">
        <w:r w:rsidR="00B438AC" w:rsidRPr="00986EB0">
          <w:rPr>
            <w:rStyle w:val="Lienhypertexte"/>
            <w:rFonts w:ascii="Arial" w:eastAsia="Gadugi" w:hAnsi="Arial" w:cs="Arial"/>
            <w:noProof/>
            <w:lang w:bidi="fr-CA"/>
          </w:rPr>
          <w:t>3.1</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MAJOR OR MINOR APPLICATION</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_Toc52808117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4</w:t>
        </w:r>
        <w:r w:rsidR="00B438AC" w:rsidRPr="00986EB0">
          <w:rPr>
            <w:rFonts w:ascii="Arial" w:eastAsia="Gadugi" w:hAnsi="Arial" w:cs="Arial"/>
            <w:noProof/>
            <w:webHidden/>
            <w:lang w:bidi="fr-CA"/>
          </w:rPr>
          <w:fldChar w:fldCharType="end"/>
        </w:r>
      </w:hyperlink>
    </w:p>
    <w:p w14:paraId="5CA5DD82" w14:textId="797762A5" w:rsidR="00B438AC" w:rsidRPr="00986EB0" w:rsidRDefault="00EC7838">
      <w:pPr>
        <w:pStyle w:val="TM2"/>
        <w:tabs>
          <w:tab w:val="right" w:leader="dot" w:pos="9350"/>
        </w:tabs>
        <w:rPr>
          <w:rFonts w:ascii="Arial" w:eastAsiaTheme="minorEastAsia" w:hAnsi="Arial" w:cs="Arial"/>
          <w:noProof/>
        </w:rPr>
      </w:pPr>
      <w:hyperlink w:anchor="_Toc52808118" w:history="1">
        <w:r w:rsidR="00B438AC" w:rsidRPr="00986EB0">
          <w:rPr>
            <w:rStyle w:val="Lienhypertexte"/>
            <w:rFonts w:ascii="Arial" w:eastAsia="Gadugi" w:hAnsi="Arial" w:cs="Arial"/>
            <w:noProof/>
            <w:lang w:bidi="fr-CA"/>
          </w:rPr>
          <w:t>3.2</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PUBLIC CONSULTATION PROCESS</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_Toc52808118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4</w:t>
        </w:r>
        <w:r w:rsidR="00B438AC" w:rsidRPr="00986EB0">
          <w:rPr>
            <w:rFonts w:ascii="Arial" w:eastAsia="Gadugi" w:hAnsi="Arial" w:cs="Arial"/>
            <w:noProof/>
            <w:webHidden/>
            <w:lang w:bidi="fr-CA"/>
          </w:rPr>
          <w:fldChar w:fldCharType="end"/>
        </w:r>
      </w:hyperlink>
    </w:p>
    <w:p w14:paraId="622FB345" w14:textId="0CC2BCDC" w:rsidR="00B438AC" w:rsidRPr="00986EB0" w:rsidRDefault="00EC7838">
      <w:pPr>
        <w:pStyle w:val="TM1"/>
        <w:tabs>
          <w:tab w:val="left" w:pos="1019"/>
          <w:tab w:val="right" w:leader="dot" w:pos="9350"/>
        </w:tabs>
        <w:rPr>
          <w:rFonts w:ascii="Arial" w:eastAsiaTheme="minorEastAsia" w:hAnsi="Arial" w:cs="Arial"/>
          <w:noProof/>
        </w:rPr>
      </w:pPr>
      <w:hyperlink w:anchor="_Toc52808119" w:history="1">
        <w:r w:rsidR="00B438AC" w:rsidRPr="00986EB0">
          <w:rPr>
            <w:rStyle w:val="Lienhypertexte"/>
            <w:rFonts w:ascii="Arial" w:eastAsia="Gadugi" w:hAnsi="Arial" w:cs="Arial"/>
            <w:noProof/>
            <w:lang w:bidi="fr-CA"/>
          </w:rPr>
          <w:t>4.0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PUBLIC SUBMISSIONS</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_Toc52808119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6</w:t>
        </w:r>
        <w:r w:rsidR="00B438AC" w:rsidRPr="00986EB0">
          <w:rPr>
            <w:rFonts w:ascii="Arial" w:eastAsia="Gadugi" w:hAnsi="Arial" w:cs="Arial"/>
            <w:noProof/>
            <w:webHidden/>
            <w:lang w:bidi="fr-CA"/>
          </w:rPr>
          <w:fldChar w:fldCharType="end"/>
        </w:r>
      </w:hyperlink>
    </w:p>
    <w:p w14:paraId="5AFD3F3F" w14:textId="3C361AE1" w:rsidR="00B438AC" w:rsidRPr="00986EB0" w:rsidRDefault="00EC7838">
      <w:pPr>
        <w:pStyle w:val="TM1"/>
        <w:tabs>
          <w:tab w:val="left" w:pos="1019"/>
          <w:tab w:val="right" w:leader="dot" w:pos="9350"/>
        </w:tabs>
        <w:rPr>
          <w:rFonts w:ascii="Arial" w:eastAsiaTheme="minorEastAsia" w:hAnsi="Arial" w:cs="Arial"/>
          <w:noProof/>
        </w:rPr>
      </w:pPr>
      <w:hyperlink w:anchor="_Toc52808120" w:history="1">
        <w:r w:rsidR="00B438AC" w:rsidRPr="00986EB0">
          <w:rPr>
            <w:rStyle w:val="Lienhypertexte"/>
            <w:rFonts w:ascii="Arial" w:eastAsia="Gadugi" w:hAnsi="Arial" w:cs="Arial"/>
            <w:noProof/>
            <w:lang w:bidi="fr-CA"/>
          </w:rPr>
          <w:t>5.0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EXAMINATION OF THE APPLICATION</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_Toc52808120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9</w:t>
        </w:r>
        <w:r w:rsidR="00B438AC" w:rsidRPr="00986EB0">
          <w:rPr>
            <w:rFonts w:ascii="Arial" w:eastAsia="Gadugi" w:hAnsi="Arial" w:cs="Arial"/>
            <w:noProof/>
            <w:webHidden/>
            <w:lang w:bidi="fr-CA"/>
          </w:rPr>
          <w:fldChar w:fldCharType="end"/>
        </w:r>
      </w:hyperlink>
    </w:p>
    <w:p w14:paraId="40704448" w14:textId="6563C5E0" w:rsidR="00B438AC" w:rsidRPr="00986EB0" w:rsidRDefault="00EC7838">
      <w:pPr>
        <w:pStyle w:val="TM2"/>
        <w:tabs>
          <w:tab w:val="right" w:leader="dot" w:pos="9350"/>
        </w:tabs>
        <w:rPr>
          <w:rFonts w:ascii="Arial" w:eastAsiaTheme="minorEastAsia" w:hAnsi="Arial" w:cs="Arial"/>
          <w:noProof/>
        </w:rPr>
      </w:pPr>
      <w:hyperlink w:anchor="_Toc52808121" w:history="1">
        <w:r w:rsidR="00B438AC" w:rsidRPr="00986EB0">
          <w:rPr>
            <w:rStyle w:val="Lienhypertexte"/>
            <w:rFonts w:ascii="Arial" w:eastAsia="Gadugi" w:hAnsi="Arial" w:cs="Arial"/>
            <w:noProof/>
            <w:lang w:bidi="fr-CA"/>
          </w:rPr>
          <w:t>5.1</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OVERALL OBJECTIVE AND PREMISE FOR THE CIPP PROGRAM</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_Toc52808121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9</w:t>
        </w:r>
        <w:r w:rsidR="00B438AC" w:rsidRPr="00986EB0">
          <w:rPr>
            <w:rFonts w:ascii="Arial" w:eastAsia="Gadugi" w:hAnsi="Arial" w:cs="Arial"/>
            <w:noProof/>
            <w:webHidden/>
            <w:lang w:bidi="fr-CA"/>
          </w:rPr>
          <w:fldChar w:fldCharType="end"/>
        </w:r>
      </w:hyperlink>
    </w:p>
    <w:p w14:paraId="2DF84351" w14:textId="6BB04923" w:rsidR="00B438AC" w:rsidRPr="00986EB0" w:rsidRDefault="00EC7838">
      <w:pPr>
        <w:pStyle w:val="TM2"/>
        <w:tabs>
          <w:tab w:val="right" w:leader="dot" w:pos="9350"/>
        </w:tabs>
        <w:rPr>
          <w:rFonts w:ascii="Arial" w:eastAsiaTheme="minorEastAsia" w:hAnsi="Arial" w:cs="Arial"/>
          <w:noProof/>
        </w:rPr>
      </w:pPr>
      <w:hyperlink w:anchor="_Toc52808122" w:history="1">
        <w:r w:rsidR="00B438AC" w:rsidRPr="00986EB0">
          <w:rPr>
            <w:rStyle w:val="Lienhypertexte"/>
            <w:rFonts w:ascii="Arial" w:eastAsia="Gadugi" w:hAnsi="Arial" w:cs="Arial"/>
            <w:noProof/>
            <w:lang w:bidi="fr-CA"/>
          </w:rPr>
          <w:t>5.2</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CIPP PRICING STRUCTURE</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_Toc52808122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10</w:t>
        </w:r>
        <w:r w:rsidR="00B438AC" w:rsidRPr="00986EB0">
          <w:rPr>
            <w:rFonts w:ascii="Arial" w:eastAsia="Gadugi" w:hAnsi="Arial" w:cs="Arial"/>
            <w:noProof/>
            <w:webHidden/>
            <w:lang w:bidi="fr-CA"/>
          </w:rPr>
          <w:fldChar w:fldCharType="end"/>
        </w:r>
      </w:hyperlink>
    </w:p>
    <w:p w14:paraId="283B4701" w14:textId="54687BA3" w:rsidR="00B438AC" w:rsidRPr="00986EB0" w:rsidRDefault="00EC7838">
      <w:pPr>
        <w:pStyle w:val="TM2"/>
        <w:tabs>
          <w:tab w:val="right" w:leader="dot" w:pos="9350"/>
        </w:tabs>
        <w:rPr>
          <w:rFonts w:ascii="Arial" w:eastAsiaTheme="minorEastAsia" w:hAnsi="Arial" w:cs="Arial"/>
          <w:noProof/>
        </w:rPr>
      </w:pPr>
      <w:hyperlink w:anchor="_Toc52808123" w:history="1">
        <w:r w:rsidR="00B438AC" w:rsidRPr="00986EB0">
          <w:rPr>
            <w:rStyle w:val="Lienhypertexte"/>
            <w:rFonts w:ascii="Arial" w:eastAsia="Gadugi" w:hAnsi="Arial" w:cs="Arial"/>
            <w:noProof/>
            <w:lang w:bidi="fr-CA"/>
          </w:rPr>
          <w:t>5.3</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CIPP PROGRAM</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_Toc52808123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13</w:t>
        </w:r>
        <w:r w:rsidR="00B438AC" w:rsidRPr="00986EB0">
          <w:rPr>
            <w:rFonts w:ascii="Arial" w:eastAsia="Gadugi" w:hAnsi="Arial" w:cs="Arial"/>
            <w:noProof/>
            <w:webHidden/>
            <w:lang w:bidi="fr-CA"/>
          </w:rPr>
          <w:fldChar w:fldCharType="end"/>
        </w:r>
      </w:hyperlink>
    </w:p>
    <w:p w14:paraId="051FBD45" w14:textId="15CF24B3" w:rsidR="00B438AC" w:rsidRPr="00986EB0" w:rsidRDefault="00EC7838">
      <w:pPr>
        <w:pStyle w:val="TM1"/>
        <w:tabs>
          <w:tab w:val="left" w:pos="1019"/>
          <w:tab w:val="right" w:leader="dot" w:pos="9350"/>
        </w:tabs>
        <w:rPr>
          <w:rFonts w:ascii="Arial" w:eastAsiaTheme="minorEastAsia" w:hAnsi="Arial" w:cs="Arial"/>
          <w:noProof/>
        </w:rPr>
      </w:pPr>
      <w:hyperlink w:anchor="_Toc52808124" w:history="1">
        <w:r w:rsidR="00B438AC" w:rsidRPr="00986EB0">
          <w:rPr>
            <w:rStyle w:val="Lienhypertexte"/>
            <w:rFonts w:ascii="Arial" w:eastAsia="Gadugi" w:hAnsi="Arial" w:cs="Arial"/>
            <w:noProof/>
            <w:lang w:bidi="fr-CA"/>
          </w:rPr>
          <w:t>6.0</w:t>
        </w:r>
        <w:r w:rsidR="00B438AC" w:rsidRPr="00986EB0">
          <w:rPr>
            <w:rFonts w:ascii="Arial" w:eastAsia="Gadugi" w:hAnsi="Arial" w:cs="Arial"/>
            <w:noProof/>
            <w:lang w:bidi="fr-CA"/>
          </w:rPr>
          <w:tab/>
        </w:r>
        <w:r w:rsidR="00B438AC" w:rsidRPr="00986EB0">
          <w:rPr>
            <w:rStyle w:val="Lienhypertexte"/>
            <w:rFonts w:ascii="Arial" w:eastAsia="Gadugi" w:hAnsi="Arial" w:cs="Arial"/>
            <w:noProof/>
            <w:lang w:bidi="fr-CA"/>
          </w:rPr>
          <w:t>URRC RECOMMENDATION</w:t>
        </w:r>
        <w:r w:rsidR="00B438AC" w:rsidRPr="00986EB0">
          <w:rPr>
            <w:rFonts w:ascii="Arial" w:eastAsia="Gadugi" w:hAnsi="Arial" w:cs="Arial"/>
            <w:noProof/>
            <w:webHidden/>
            <w:lang w:bidi="fr-CA"/>
          </w:rPr>
          <w:tab/>
        </w:r>
        <w:r w:rsidR="00B438AC" w:rsidRPr="00986EB0">
          <w:rPr>
            <w:rFonts w:ascii="Arial" w:eastAsia="Gadugi" w:hAnsi="Arial" w:cs="Arial"/>
            <w:noProof/>
            <w:webHidden/>
            <w:lang w:bidi="fr-CA"/>
          </w:rPr>
          <w:fldChar w:fldCharType="begin"/>
        </w:r>
        <w:r w:rsidR="00B438AC" w:rsidRPr="00986EB0">
          <w:rPr>
            <w:rFonts w:ascii="Arial" w:eastAsia="Gadugi" w:hAnsi="Arial" w:cs="Arial"/>
            <w:noProof/>
            <w:webHidden/>
            <w:lang w:bidi="fr-CA"/>
          </w:rPr>
          <w:instrText xml:space="preserve"> PAGEREF _Toc52808124 \h </w:instrText>
        </w:r>
        <w:r w:rsidR="00B438AC" w:rsidRPr="00986EB0">
          <w:rPr>
            <w:rFonts w:ascii="Arial" w:eastAsia="Gadugi" w:hAnsi="Arial" w:cs="Arial"/>
            <w:noProof/>
            <w:webHidden/>
            <w:lang w:bidi="fr-CA"/>
          </w:rPr>
        </w:r>
        <w:r w:rsidR="00B438AC" w:rsidRPr="00986EB0">
          <w:rPr>
            <w:rFonts w:ascii="Arial" w:eastAsia="Gadugi" w:hAnsi="Arial" w:cs="Arial"/>
            <w:noProof/>
            <w:webHidden/>
            <w:lang w:bidi="fr-CA"/>
          </w:rPr>
          <w:fldChar w:fldCharType="separate"/>
        </w:r>
        <w:r w:rsidR="00FA260F" w:rsidRPr="00986EB0">
          <w:rPr>
            <w:rFonts w:ascii="Arial" w:eastAsia="Gadugi" w:hAnsi="Arial" w:cs="Arial"/>
            <w:noProof/>
            <w:webHidden/>
            <w:lang w:bidi="fr-CA"/>
          </w:rPr>
          <w:t>15</w:t>
        </w:r>
        <w:r w:rsidR="00B438AC" w:rsidRPr="00986EB0">
          <w:rPr>
            <w:rFonts w:ascii="Arial" w:eastAsia="Gadugi" w:hAnsi="Arial" w:cs="Arial"/>
            <w:noProof/>
            <w:webHidden/>
            <w:lang w:bidi="fr-CA"/>
          </w:rPr>
          <w:fldChar w:fldCharType="end"/>
        </w:r>
      </w:hyperlink>
    </w:p>
    <w:p w14:paraId="1CD00FBA" w14:textId="41F35C39" w:rsidR="00AA724A" w:rsidRPr="00986EB0" w:rsidRDefault="00AA724A">
      <w:pPr>
        <w:spacing w:before="90"/>
        <w:ind w:left="240"/>
        <w:rPr>
          <w:rFonts w:ascii="Arial" w:hAnsi="Arial" w:cs="Arial"/>
          <w:b/>
          <w:sz w:val="24"/>
          <w:szCs w:val="24"/>
        </w:rPr>
      </w:pPr>
      <w:r w:rsidRPr="00986EB0">
        <w:rPr>
          <w:rFonts w:ascii="Arial" w:eastAsia="Gadugi" w:hAnsi="Arial" w:cs="Arial"/>
          <w:b/>
          <w:sz w:val="24"/>
          <w:lang w:bidi="fr-CA"/>
        </w:rPr>
        <w:fldChar w:fldCharType="end"/>
      </w:r>
    </w:p>
    <w:p w14:paraId="24F44EE0" w14:textId="315E4408" w:rsidR="003D56E8" w:rsidRPr="00986EB0" w:rsidRDefault="003D56E8">
      <w:pPr>
        <w:pBdr>
          <w:top w:val="nil"/>
          <w:left w:val="nil"/>
          <w:bottom w:val="nil"/>
          <w:right w:val="nil"/>
          <w:between w:val="nil"/>
        </w:pBdr>
        <w:tabs>
          <w:tab w:val="left" w:pos="798"/>
          <w:tab w:val="right" w:pos="9489"/>
        </w:tabs>
        <w:spacing w:before="100"/>
        <w:ind w:left="138"/>
        <w:rPr>
          <w:rFonts w:ascii="Arial" w:hAnsi="Arial" w:cs="Arial"/>
          <w:color w:val="000000"/>
        </w:rPr>
      </w:pPr>
    </w:p>
    <w:p w14:paraId="4B82A112" w14:textId="77777777" w:rsidR="003D56E8" w:rsidRPr="00986EB0" w:rsidRDefault="003D56E8">
      <w:pPr>
        <w:rPr>
          <w:rFonts w:ascii="Arial" w:hAnsi="Arial" w:cs="Arial"/>
        </w:rPr>
        <w:sectPr w:rsidR="003D56E8" w:rsidRPr="00986EB0">
          <w:headerReference w:type="default" r:id="rId20"/>
          <w:pgSz w:w="12240" w:h="15840"/>
          <w:pgMar w:top="1720" w:right="1420" w:bottom="280" w:left="1200" w:header="1520" w:footer="0" w:gutter="0"/>
          <w:cols w:space="720" w:equalWidth="0">
            <w:col w:w="9360"/>
          </w:cols>
        </w:sectPr>
      </w:pPr>
    </w:p>
    <w:p w14:paraId="6D6A0421" w14:textId="77777777" w:rsidR="003D56E8" w:rsidRPr="00986EB0" w:rsidRDefault="003D56E8">
      <w:pPr>
        <w:pBdr>
          <w:top w:val="nil"/>
          <w:left w:val="nil"/>
          <w:bottom w:val="nil"/>
          <w:right w:val="nil"/>
          <w:between w:val="nil"/>
        </w:pBdr>
        <w:spacing w:before="9"/>
        <w:rPr>
          <w:rFonts w:ascii="Arial" w:hAnsi="Arial" w:cs="Arial"/>
          <w:b/>
          <w:color w:val="000000"/>
          <w:sz w:val="23"/>
          <w:szCs w:val="23"/>
        </w:rPr>
      </w:pPr>
      <w:bookmarkStart w:id="3" w:name="bookmark=id.tyjcwt" w:colFirst="0" w:colLast="0"/>
      <w:bookmarkStart w:id="4" w:name="_heading=h.3dy6vkm" w:colFirst="0" w:colLast="0"/>
      <w:bookmarkEnd w:id="3"/>
      <w:bookmarkEnd w:id="4"/>
    </w:p>
    <w:p w14:paraId="42511A0F" w14:textId="77777777" w:rsidR="00851F8B" w:rsidRPr="00986EB0" w:rsidRDefault="00851F8B">
      <w:pPr>
        <w:pBdr>
          <w:top w:val="nil"/>
          <w:left w:val="nil"/>
          <w:bottom w:val="nil"/>
          <w:right w:val="nil"/>
          <w:between w:val="nil"/>
        </w:pBdr>
        <w:spacing w:before="9"/>
        <w:rPr>
          <w:rFonts w:ascii="Arial" w:hAnsi="Arial" w:cs="Arial"/>
          <w:b/>
          <w:color w:val="000000"/>
          <w:sz w:val="23"/>
          <w:szCs w:val="23"/>
        </w:rPr>
      </w:pPr>
    </w:p>
    <w:p w14:paraId="1495E032" w14:textId="29F3C6A3" w:rsidR="003D56E8" w:rsidRPr="00986EB0" w:rsidRDefault="00AA767F" w:rsidP="00851F8B">
      <w:pPr>
        <w:pStyle w:val="URRCHeading1"/>
        <w:rPr>
          <w:rFonts w:ascii="Arial" w:hAnsi="Arial" w:cs="Arial"/>
        </w:rPr>
      </w:pPr>
      <w:r w:rsidRPr="00986EB0">
        <w:rPr>
          <w:rFonts w:ascii="Arial" w:eastAsia="Gadugi" w:hAnsi="Arial" w:cs="Arial"/>
          <w:lang w:bidi="fr-CA"/>
        </w:rPr>
        <w:t>CONTEXTE</w:t>
      </w:r>
    </w:p>
    <w:p w14:paraId="54C69529" w14:textId="77777777" w:rsidR="003D56E8" w:rsidRPr="00986EB0" w:rsidRDefault="003D56E8">
      <w:pPr>
        <w:pBdr>
          <w:top w:val="nil"/>
          <w:left w:val="nil"/>
          <w:bottom w:val="nil"/>
          <w:right w:val="nil"/>
          <w:between w:val="nil"/>
        </w:pBdr>
        <w:spacing w:before="7"/>
        <w:rPr>
          <w:rFonts w:ascii="Arial" w:hAnsi="Arial" w:cs="Arial"/>
          <w:b/>
          <w:color w:val="000000"/>
          <w:sz w:val="23"/>
          <w:szCs w:val="23"/>
        </w:rPr>
      </w:pPr>
    </w:p>
    <w:p w14:paraId="61552C2C" w14:textId="1D9BFB77" w:rsidR="003D56E8" w:rsidRPr="00986EB0" w:rsidRDefault="00AA767F">
      <w:pPr>
        <w:numPr>
          <w:ilvl w:val="2"/>
          <w:numId w:val="4"/>
        </w:numPr>
        <w:pBdr>
          <w:top w:val="nil"/>
          <w:left w:val="nil"/>
          <w:bottom w:val="nil"/>
          <w:right w:val="nil"/>
          <w:between w:val="nil"/>
        </w:pBdr>
        <w:tabs>
          <w:tab w:val="left" w:pos="885"/>
        </w:tabs>
        <w:spacing w:line="360" w:lineRule="auto"/>
        <w:ind w:right="116"/>
        <w:jc w:val="both"/>
        <w:rPr>
          <w:rFonts w:ascii="Arial" w:hAnsi="Arial" w:cs="Arial"/>
          <w:color w:val="000000"/>
          <w:sz w:val="24"/>
          <w:szCs w:val="24"/>
        </w:rPr>
      </w:pPr>
      <w:r w:rsidRPr="00986EB0">
        <w:rPr>
          <w:rFonts w:ascii="Arial" w:eastAsia="Gadugi" w:hAnsi="Arial" w:cs="Arial"/>
          <w:sz w:val="24"/>
          <w:lang w:bidi="fr-CA"/>
        </w:rPr>
        <w:t xml:space="preserve">La Société d’énergie Qulliq (SÉQ), à titre d’entreprise de services désignée, est tenue, conformément au paragraphe 12(1) de la </w:t>
      </w:r>
      <w:r w:rsidRPr="00986EB0">
        <w:rPr>
          <w:rFonts w:ascii="Arial" w:eastAsia="Gadugi" w:hAnsi="Arial" w:cs="Arial"/>
          <w:i/>
          <w:sz w:val="24"/>
          <w:lang w:bidi="fr-CA"/>
        </w:rPr>
        <w:t>Loi sur le Conseil d’examen des taux des entreprises de service</w:t>
      </w:r>
      <w:r w:rsidRPr="00986EB0">
        <w:rPr>
          <w:rFonts w:ascii="Arial" w:eastAsia="Gadugi" w:hAnsi="Arial" w:cs="Arial"/>
          <w:sz w:val="24"/>
          <w:lang w:bidi="fr-CA"/>
        </w:rPr>
        <w:t xml:space="preserve"> (la Loi sur le CETES), d’obtenir l’autorisation de la ministre responsable de la SÉQ (la ministre) avant d’imposer un taux ou un tarif. En retour, la ministre responsable doit, conformément au paragraphe 12(2) de la Loi sur le CETES, demander l’avis du Conseil d’examen des taux des entreprises de services (CETES) au sujet de la demande de l’entreprise de services d’imposer un taux ou un tarif.</w:t>
      </w:r>
    </w:p>
    <w:p w14:paraId="1B8C6B81" w14:textId="3A0DAC00" w:rsidR="003D56E8" w:rsidRPr="00986EB0" w:rsidRDefault="00AA767F">
      <w:pPr>
        <w:numPr>
          <w:ilvl w:val="2"/>
          <w:numId w:val="4"/>
        </w:numPr>
        <w:pBdr>
          <w:top w:val="nil"/>
          <w:left w:val="nil"/>
          <w:bottom w:val="nil"/>
          <w:right w:val="nil"/>
          <w:between w:val="nil"/>
        </w:pBdr>
        <w:tabs>
          <w:tab w:val="left" w:pos="885"/>
        </w:tabs>
        <w:spacing w:line="360" w:lineRule="auto"/>
        <w:ind w:right="116"/>
        <w:jc w:val="both"/>
        <w:rPr>
          <w:rFonts w:ascii="Arial" w:hAnsi="Arial" w:cs="Arial"/>
          <w:color w:val="000000"/>
          <w:sz w:val="24"/>
          <w:szCs w:val="24"/>
        </w:rPr>
      </w:pPr>
      <w:r w:rsidRPr="00986EB0">
        <w:rPr>
          <w:rFonts w:ascii="Arial" w:eastAsia="Gadugi" w:hAnsi="Arial" w:cs="Arial"/>
          <w:sz w:val="24"/>
          <w:lang w:bidi="fr-CA"/>
        </w:rPr>
        <w:t xml:space="preserve">Dans une lettre datée du 11 mai 2020, la SÉQ a présenté à la ministre responsable de la SÉQ une demande pour l’approbation d’une structure tarifaire et de tarifs pour l’achat d’électricité générée par les producteurs d’électricité commerciaux et institutionnels (PÉCI). Dans une lettre du 12 mai 2020, la ministre sollicitait l’avis du CETES quant à la requête de la SÉQ. La SÉQ a par la suite précisé </w:t>
      </w:r>
      <w:r w:rsidRPr="00986EB0">
        <w:rPr>
          <w:rFonts w:ascii="Arial" w:eastAsia="Gadugi" w:hAnsi="Arial" w:cs="Arial"/>
          <w:b/>
          <w:sz w:val="20"/>
          <w:vertAlign w:val="superscript"/>
          <w:lang w:bidi="fr-CA"/>
        </w:rPr>
        <w:footnoteReference w:id="1"/>
      </w:r>
      <w:r w:rsidRPr="00986EB0">
        <w:rPr>
          <w:rFonts w:ascii="Arial" w:eastAsia="Gadugi" w:hAnsi="Arial" w:cs="Arial"/>
          <w:sz w:val="24"/>
          <w:lang w:bidi="fr-CA"/>
        </w:rPr>
        <w:t>que sa demande à l’égard du programme PÉCI n</w:t>
      </w:r>
      <w:r w:rsidR="00DE3A58" w:rsidRPr="00986EB0">
        <w:rPr>
          <w:rFonts w:ascii="Arial" w:eastAsia="Gadugi" w:hAnsi="Arial" w:cs="Arial"/>
          <w:sz w:val="24"/>
          <w:lang w:bidi="fr-CA"/>
        </w:rPr>
        <w:t>’</w:t>
      </w:r>
      <w:r w:rsidRPr="00986EB0">
        <w:rPr>
          <w:rFonts w:ascii="Arial" w:eastAsia="Gadugi" w:hAnsi="Arial" w:cs="Arial"/>
          <w:sz w:val="24"/>
          <w:lang w:bidi="fr-CA"/>
        </w:rPr>
        <w:t>incluait pas l</w:t>
      </w:r>
      <w:r w:rsidR="00DE3A58" w:rsidRPr="00986EB0">
        <w:rPr>
          <w:rFonts w:ascii="Arial" w:eastAsia="Gadugi" w:hAnsi="Arial" w:cs="Arial"/>
          <w:sz w:val="24"/>
          <w:lang w:bidi="fr-CA"/>
        </w:rPr>
        <w:t>’</w:t>
      </w:r>
      <w:r w:rsidRPr="00986EB0">
        <w:rPr>
          <w:rFonts w:ascii="Arial" w:eastAsia="Gadugi" w:hAnsi="Arial" w:cs="Arial"/>
          <w:sz w:val="24"/>
          <w:lang w:bidi="fr-CA"/>
        </w:rPr>
        <w:t>imposition d</w:t>
      </w:r>
      <w:r w:rsidR="00DE3A58" w:rsidRPr="00986EB0">
        <w:rPr>
          <w:rFonts w:ascii="Arial" w:eastAsia="Gadugi" w:hAnsi="Arial" w:cs="Arial"/>
          <w:sz w:val="24"/>
          <w:lang w:bidi="fr-CA"/>
        </w:rPr>
        <w:t>’</w:t>
      </w:r>
      <w:r w:rsidRPr="00986EB0">
        <w:rPr>
          <w:rFonts w:ascii="Arial" w:eastAsia="Gadugi" w:hAnsi="Arial" w:cs="Arial"/>
          <w:sz w:val="24"/>
          <w:lang w:bidi="fr-CA"/>
        </w:rPr>
        <w:t>un taux ou d</w:t>
      </w:r>
      <w:r w:rsidR="00DE3A58" w:rsidRPr="00986EB0">
        <w:rPr>
          <w:rFonts w:ascii="Arial" w:eastAsia="Gadugi" w:hAnsi="Arial" w:cs="Arial"/>
          <w:sz w:val="24"/>
          <w:lang w:bidi="fr-CA"/>
        </w:rPr>
        <w:t>’</w:t>
      </w:r>
      <w:r w:rsidRPr="00986EB0">
        <w:rPr>
          <w:rFonts w:ascii="Arial" w:eastAsia="Gadugi" w:hAnsi="Arial" w:cs="Arial"/>
          <w:sz w:val="24"/>
          <w:lang w:bidi="fr-CA"/>
        </w:rPr>
        <w:t>un tarif, et que la ministre responsable de la SÉQ a voulu obtenir la recommandation du CETES sur la façon dont la tarification serait établie avant de prendre en considération l’ensemble de la demande pour le programme PÉCI. La SÉQ a fait valoir que la demande a été faite en vertu de l</w:t>
      </w:r>
      <w:r w:rsidR="00DE3A58" w:rsidRPr="00986EB0">
        <w:rPr>
          <w:rFonts w:ascii="Arial" w:eastAsia="Gadugi" w:hAnsi="Arial" w:cs="Arial"/>
          <w:sz w:val="24"/>
          <w:lang w:bidi="fr-CA"/>
        </w:rPr>
        <w:t>’</w:t>
      </w:r>
      <w:r w:rsidRPr="00986EB0">
        <w:rPr>
          <w:rFonts w:ascii="Arial" w:eastAsia="Gadugi" w:hAnsi="Arial" w:cs="Arial"/>
          <w:sz w:val="24"/>
          <w:lang w:bidi="fr-CA"/>
        </w:rPr>
        <w:t>article 7 (c) de la Loi sur le CETES.</w:t>
      </w:r>
    </w:p>
    <w:p w14:paraId="7504ED55" w14:textId="695104BB" w:rsidR="003D56E8" w:rsidRPr="00986EB0" w:rsidRDefault="00AA767F">
      <w:pPr>
        <w:numPr>
          <w:ilvl w:val="2"/>
          <w:numId w:val="4"/>
        </w:numPr>
        <w:pBdr>
          <w:top w:val="nil"/>
          <w:left w:val="nil"/>
          <w:bottom w:val="nil"/>
          <w:right w:val="nil"/>
          <w:between w:val="nil"/>
        </w:pBdr>
        <w:tabs>
          <w:tab w:val="left" w:pos="885"/>
        </w:tabs>
        <w:spacing w:line="360" w:lineRule="auto"/>
        <w:ind w:right="116"/>
        <w:jc w:val="both"/>
        <w:rPr>
          <w:rFonts w:ascii="Arial" w:hAnsi="Arial" w:cs="Arial"/>
          <w:color w:val="000000"/>
          <w:sz w:val="24"/>
          <w:szCs w:val="24"/>
        </w:rPr>
      </w:pPr>
      <w:r w:rsidRPr="00986EB0">
        <w:rPr>
          <w:rFonts w:ascii="Arial" w:eastAsia="Gadugi" w:hAnsi="Arial" w:cs="Arial"/>
          <w:sz w:val="24"/>
          <w:lang w:bidi="fr-CA"/>
        </w:rPr>
        <w:t>L</w:t>
      </w:r>
      <w:r w:rsidR="00DE3A58" w:rsidRPr="00986EB0">
        <w:rPr>
          <w:rFonts w:ascii="Arial" w:eastAsia="Gadugi" w:hAnsi="Arial" w:cs="Arial"/>
          <w:sz w:val="24"/>
          <w:lang w:bidi="fr-CA"/>
        </w:rPr>
        <w:t>’</w:t>
      </w:r>
      <w:r w:rsidRPr="00986EB0">
        <w:rPr>
          <w:rFonts w:ascii="Arial" w:eastAsia="Gadugi" w:hAnsi="Arial" w:cs="Arial"/>
          <w:sz w:val="24"/>
          <w:lang w:bidi="fr-CA"/>
        </w:rPr>
        <w:t>article 7 (c) de la Loi sur le CETES stipule, entre autres, que les objectifs du CETES sont de conseiller la ministre responsable de la Société d</w:t>
      </w:r>
      <w:r w:rsidR="00DE3A58" w:rsidRPr="00986EB0">
        <w:rPr>
          <w:rFonts w:ascii="Arial" w:eastAsia="Gadugi" w:hAnsi="Arial" w:cs="Arial"/>
          <w:sz w:val="24"/>
          <w:lang w:bidi="fr-CA"/>
        </w:rPr>
        <w:t>’</w:t>
      </w:r>
      <w:r w:rsidRPr="00986EB0">
        <w:rPr>
          <w:rFonts w:ascii="Arial" w:eastAsia="Gadugi" w:hAnsi="Arial" w:cs="Arial"/>
          <w:sz w:val="24"/>
          <w:lang w:bidi="fr-CA"/>
        </w:rPr>
        <w:t>énergie Qulliq sur toute question relative à la SÉQ qui lui est soumise par le ministre responsable sur l</w:t>
      </w:r>
      <w:r w:rsidR="00DE3A58" w:rsidRPr="00986EB0">
        <w:rPr>
          <w:rFonts w:ascii="Arial" w:eastAsia="Gadugi" w:hAnsi="Arial" w:cs="Arial"/>
          <w:sz w:val="24"/>
          <w:lang w:bidi="fr-CA"/>
        </w:rPr>
        <w:t>’</w:t>
      </w:r>
      <w:r w:rsidRPr="00986EB0">
        <w:rPr>
          <w:rFonts w:ascii="Arial" w:eastAsia="Gadugi" w:hAnsi="Arial" w:cs="Arial"/>
          <w:sz w:val="24"/>
          <w:lang w:bidi="fr-CA"/>
        </w:rPr>
        <w:t>avis du Conseil exécutif. Sur la base de la clarification fournie par la SÉQ, le CETES étudie cette question en vertu de l</w:t>
      </w:r>
      <w:r w:rsidR="00DE3A58" w:rsidRPr="00986EB0">
        <w:rPr>
          <w:rFonts w:ascii="Arial" w:eastAsia="Gadugi" w:hAnsi="Arial" w:cs="Arial"/>
          <w:sz w:val="24"/>
          <w:lang w:bidi="fr-CA"/>
        </w:rPr>
        <w:t>’</w:t>
      </w:r>
      <w:r w:rsidRPr="00986EB0">
        <w:rPr>
          <w:rFonts w:ascii="Arial" w:eastAsia="Gadugi" w:hAnsi="Arial" w:cs="Arial"/>
          <w:sz w:val="24"/>
          <w:lang w:bidi="fr-CA"/>
        </w:rPr>
        <w:t>article 7 (c) de la Loi sur le CETES. Le présent rapport fait état des résultats de l’examen de cette demande par le CETES.</w:t>
      </w:r>
    </w:p>
    <w:p w14:paraId="5911BBEE" w14:textId="77777777" w:rsidR="003D56E8" w:rsidRPr="00986EB0" w:rsidRDefault="003D56E8">
      <w:pPr>
        <w:pBdr>
          <w:top w:val="nil"/>
          <w:left w:val="nil"/>
          <w:bottom w:val="nil"/>
          <w:right w:val="nil"/>
          <w:between w:val="nil"/>
        </w:pBdr>
        <w:tabs>
          <w:tab w:val="left" w:pos="885"/>
        </w:tabs>
        <w:spacing w:before="90" w:line="360" w:lineRule="auto"/>
        <w:ind w:left="884" w:right="115" w:hanging="360"/>
        <w:jc w:val="both"/>
        <w:rPr>
          <w:rFonts w:ascii="Arial" w:hAnsi="Arial" w:cs="Arial"/>
          <w:color w:val="000000"/>
          <w:sz w:val="24"/>
          <w:szCs w:val="24"/>
        </w:rPr>
        <w:sectPr w:rsidR="003D56E8" w:rsidRPr="00986EB0" w:rsidSect="00B26017">
          <w:footerReference w:type="default" r:id="rId21"/>
          <w:pgSz w:w="12240" w:h="15840"/>
          <w:pgMar w:top="1411" w:right="1310" w:bottom="1138" w:left="1310" w:header="720" w:footer="720" w:gutter="0"/>
          <w:pgNumType w:start="1"/>
          <w:cols w:space="720" w:equalWidth="0">
            <w:col w:w="9360"/>
          </w:cols>
        </w:sectPr>
      </w:pPr>
    </w:p>
    <w:p w14:paraId="27D7E885" w14:textId="24C961D2" w:rsidR="00916261" w:rsidRPr="00986EB0" w:rsidRDefault="00916261" w:rsidP="00916261">
      <w:pPr>
        <w:rPr>
          <w:rFonts w:ascii="Arial" w:hAnsi="Arial" w:cs="Arial"/>
        </w:rPr>
      </w:pPr>
      <w:bookmarkStart w:id="5" w:name="bookmark=id.1t3h5sf" w:colFirst="0" w:colLast="0"/>
      <w:bookmarkStart w:id="6" w:name="_heading=h.tyjcwt" w:colFirst="0" w:colLast="0"/>
      <w:bookmarkEnd w:id="5"/>
      <w:bookmarkEnd w:id="6"/>
    </w:p>
    <w:p w14:paraId="5CBA7966" w14:textId="77777777" w:rsidR="00916261" w:rsidRPr="00986EB0" w:rsidRDefault="00916261" w:rsidP="00916261">
      <w:pPr>
        <w:rPr>
          <w:rFonts w:ascii="Arial" w:hAnsi="Arial" w:cs="Arial"/>
        </w:rPr>
      </w:pPr>
    </w:p>
    <w:p w14:paraId="18638297" w14:textId="72CC6F54" w:rsidR="003D56E8" w:rsidRPr="00986EB0" w:rsidRDefault="00AA767F" w:rsidP="00851F8B">
      <w:pPr>
        <w:pStyle w:val="URRCHeading1"/>
        <w:rPr>
          <w:rFonts w:ascii="Arial" w:hAnsi="Arial" w:cs="Arial"/>
          <w:b w:val="0"/>
          <w:caps w:val="0"/>
        </w:rPr>
      </w:pPr>
      <w:r w:rsidRPr="00986EB0">
        <w:rPr>
          <w:rFonts w:ascii="Arial" w:eastAsia="Gadugi" w:hAnsi="Arial" w:cs="Arial"/>
          <w:caps w:val="0"/>
          <w:lang w:bidi="fr-CA"/>
        </w:rPr>
        <w:t xml:space="preserve">DÉTAILS DE LA </w:t>
      </w:r>
      <w:r w:rsidRPr="00986EB0">
        <w:rPr>
          <w:rFonts w:ascii="Arial" w:eastAsia="Gadugi" w:hAnsi="Arial" w:cs="Arial"/>
          <w:lang w:bidi="fr-CA"/>
        </w:rPr>
        <w:t>DEMANDE</w:t>
      </w:r>
    </w:p>
    <w:p w14:paraId="3C958843" w14:textId="77777777" w:rsidR="003D56E8" w:rsidRPr="00986EB0" w:rsidRDefault="003D56E8">
      <w:pPr>
        <w:pBdr>
          <w:top w:val="nil"/>
          <w:left w:val="nil"/>
          <w:bottom w:val="nil"/>
          <w:right w:val="nil"/>
          <w:between w:val="nil"/>
        </w:pBdr>
        <w:spacing w:before="8"/>
        <w:rPr>
          <w:rFonts w:ascii="Arial" w:hAnsi="Arial" w:cs="Arial"/>
          <w:b/>
          <w:color w:val="000000"/>
          <w:sz w:val="24"/>
          <w:szCs w:val="24"/>
        </w:rPr>
      </w:pPr>
    </w:p>
    <w:p w14:paraId="4F994F07" w14:textId="614EAD4E"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sz w:val="24"/>
          <w:szCs w:val="24"/>
        </w:rPr>
      </w:pPr>
      <w:r w:rsidRPr="00986EB0">
        <w:rPr>
          <w:rFonts w:ascii="Arial" w:eastAsia="Gadugi" w:hAnsi="Arial" w:cs="Arial"/>
          <w:sz w:val="24"/>
          <w:lang w:bidi="fr-CA"/>
        </w:rPr>
        <w:t>La SÉQ a présenté une demande en vue d</w:t>
      </w:r>
      <w:r w:rsidR="00DE3A58" w:rsidRPr="00986EB0">
        <w:rPr>
          <w:rFonts w:ascii="Arial" w:eastAsia="Gadugi" w:hAnsi="Arial" w:cs="Arial"/>
          <w:sz w:val="24"/>
          <w:lang w:bidi="fr-CA"/>
        </w:rPr>
        <w:t>’</w:t>
      </w:r>
      <w:r w:rsidRPr="00986EB0">
        <w:rPr>
          <w:rFonts w:ascii="Arial" w:eastAsia="Gadugi" w:hAnsi="Arial" w:cs="Arial"/>
          <w:sz w:val="24"/>
          <w:lang w:bidi="fr-CA"/>
        </w:rPr>
        <w:t>obtenir une directive sur une structure de prix acceptable et les tarifs qui régissent la SÉQ en ce qui concerne l</w:t>
      </w:r>
      <w:r w:rsidR="00DE3A58" w:rsidRPr="00986EB0">
        <w:rPr>
          <w:rFonts w:ascii="Arial" w:eastAsia="Gadugi" w:hAnsi="Arial" w:cs="Arial"/>
          <w:sz w:val="24"/>
          <w:lang w:bidi="fr-CA"/>
        </w:rPr>
        <w:t>’</w:t>
      </w:r>
      <w:r w:rsidRPr="00986EB0">
        <w:rPr>
          <w:rFonts w:ascii="Arial" w:eastAsia="Gadugi" w:hAnsi="Arial" w:cs="Arial"/>
          <w:sz w:val="24"/>
          <w:lang w:bidi="fr-CA"/>
        </w:rPr>
        <w:t>achat d</w:t>
      </w:r>
      <w:r w:rsidR="00DE3A58" w:rsidRPr="00986EB0">
        <w:rPr>
          <w:rFonts w:ascii="Arial" w:eastAsia="Gadugi" w:hAnsi="Arial" w:cs="Arial"/>
          <w:sz w:val="24"/>
          <w:lang w:bidi="fr-CA"/>
        </w:rPr>
        <w:t>’</w:t>
      </w:r>
      <w:r w:rsidRPr="00986EB0">
        <w:rPr>
          <w:rFonts w:ascii="Arial" w:eastAsia="Gadugi" w:hAnsi="Arial" w:cs="Arial"/>
          <w:sz w:val="24"/>
          <w:lang w:bidi="fr-CA"/>
        </w:rPr>
        <w:t>électricité auprès des clients PÉCI. La SÉQ a indiqué qu</w:t>
      </w:r>
      <w:r w:rsidR="00DE3A58" w:rsidRPr="00986EB0">
        <w:rPr>
          <w:rFonts w:ascii="Arial" w:eastAsia="Gadugi" w:hAnsi="Arial" w:cs="Arial"/>
          <w:sz w:val="24"/>
          <w:lang w:bidi="fr-CA"/>
        </w:rPr>
        <w:t>’</w:t>
      </w:r>
      <w:r w:rsidRPr="00986EB0">
        <w:rPr>
          <w:rFonts w:ascii="Arial" w:eastAsia="Gadugi" w:hAnsi="Arial" w:cs="Arial"/>
          <w:sz w:val="24"/>
          <w:lang w:bidi="fr-CA"/>
        </w:rPr>
        <w:t>elle élaborait un programme PÉCI qui permettrait à sa clientèle PÉCI existante de générer de l</w:t>
      </w:r>
      <w:r w:rsidR="00DE3A58" w:rsidRPr="00986EB0">
        <w:rPr>
          <w:rFonts w:ascii="Arial" w:eastAsia="Gadugi" w:hAnsi="Arial" w:cs="Arial"/>
          <w:sz w:val="24"/>
          <w:lang w:bidi="fr-CA"/>
        </w:rPr>
        <w:t>’</w:t>
      </w:r>
      <w:r w:rsidRPr="00986EB0">
        <w:rPr>
          <w:rFonts w:ascii="Arial" w:eastAsia="Gadugi" w:hAnsi="Arial" w:cs="Arial"/>
          <w:sz w:val="24"/>
          <w:lang w:bidi="fr-CA"/>
        </w:rPr>
        <w:t>électricité au moyen de systèmes producteurs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puis de vendre ensuite cette électricité à la SÉQ.</w:t>
      </w:r>
    </w:p>
    <w:p w14:paraId="47798D78" w14:textId="77777777"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sz w:val="24"/>
          <w:szCs w:val="24"/>
        </w:rPr>
      </w:pPr>
      <w:r w:rsidRPr="00986EB0">
        <w:rPr>
          <w:rFonts w:ascii="Arial" w:eastAsia="Gadugi" w:hAnsi="Arial" w:cs="Arial"/>
          <w:sz w:val="24"/>
          <w:lang w:bidi="fr-CA"/>
        </w:rPr>
        <w:t>La SÉQ affirme que ce programme n’engendrera aucune augmentation des tarifs pour sa clientèle et n’aura aucune incidence sur la fiabilité du service puisque les clients/fournisseurs PÉCI demeureront branchés sur le réseau de la SÉQ. Les clients/fournisseurs PÉCI pourront vendre l’électricité à la SÉQ en fonction des exigences énergétiques et des limites de capacité de chacune des localités.</w:t>
      </w:r>
    </w:p>
    <w:p w14:paraId="1D350AD7" w14:textId="278280D0"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color w:val="000000"/>
          <w:sz w:val="24"/>
          <w:szCs w:val="24"/>
        </w:rPr>
      </w:pPr>
      <w:r w:rsidRPr="00986EB0">
        <w:rPr>
          <w:rFonts w:ascii="Arial" w:eastAsia="Gadugi" w:hAnsi="Arial" w:cs="Arial"/>
          <w:sz w:val="24"/>
          <w:lang w:bidi="fr-CA"/>
        </w:rPr>
        <w:t>La SÉQ a fait savoir que le programme PÉCI devrait être lancé en 2020-2021, sous réserve de l</w:t>
      </w:r>
      <w:r w:rsidR="00DE3A58" w:rsidRPr="00986EB0">
        <w:rPr>
          <w:rFonts w:ascii="Arial" w:eastAsia="Gadugi" w:hAnsi="Arial" w:cs="Arial"/>
          <w:sz w:val="24"/>
          <w:lang w:bidi="fr-CA"/>
        </w:rPr>
        <w:t>’</w:t>
      </w:r>
      <w:r w:rsidRPr="00986EB0">
        <w:rPr>
          <w:rFonts w:ascii="Arial" w:eastAsia="Gadugi" w:hAnsi="Arial" w:cs="Arial"/>
          <w:sz w:val="24"/>
          <w:lang w:bidi="fr-CA"/>
        </w:rPr>
        <w:t>approbation du Cabinet.</w:t>
      </w:r>
    </w:p>
    <w:p w14:paraId="16ED9035" w14:textId="318E5D2D"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sz w:val="24"/>
          <w:szCs w:val="24"/>
        </w:rPr>
      </w:pPr>
      <w:r w:rsidRPr="00986EB0">
        <w:rPr>
          <w:rFonts w:ascii="Arial" w:eastAsia="Gadugi" w:hAnsi="Arial" w:cs="Arial"/>
          <w:sz w:val="24"/>
          <w:lang w:bidi="fr-CA"/>
        </w:rPr>
        <w:t>La SÉQ a affirmé que le programme PÉCI est fondé sur son étude des pratiques en matière d</w:t>
      </w:r>
      <w:r w:rsidR="00DE3A58" w:rsidRPr="00986EB0">
        <w:rPr>
          <w:rFonts w:ascii="Arial" w:eastAsia="Gadugi" w:hAnsi="Arial" w:cs="Arial"/>
          <w:sz w:val="24"/>
          <w:lang w:bidi="fr-CA"/>
        </w:rPr>
        <w:t>’</w:t>
      </w:r>
      <w:r w:rsidRPr="00986EB0">
        <w:rPr>
          <w:rFonts w:ascii="Arial" w:eastAsia="Gadugi" w:hAnsi="Arial" w:cs="Arial"/>
          <w:sz w:val="24"/>
          <w:lang w:bidi="fr-CA"/>
        </w:rPr>
        <w:t>options de tarification dans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canadiennes. À partir de cette étude, la SÉQ a indiqué avoir envisagé trois options de structure tarifaire. Les trois options sont fondées sur le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Le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est établi sur les prix des années précédentes pour la SÉQ. Les données des années précédentes seront extraites conformément aux exercices financiers de la SÉQ du 1</w:t>
      </w:r>
      <w:r w:rsidRPr="00986EB0">
        <w:rPr>
          <w:rFonts w:ascii="Arial" w:eastAsia="Gadugi" w:hAnsi="Arial" w:cs="Arial"/>
          <w:sz w:val="24"/>
          <w:vertAlign w:val="superscript"/>
          <w:lang w:bidi="fr-CA"/>
        </w:rPr>
        <w:t>er </w:t>
      </w:r>
      <w:r w:rsidRPr="00986EB0">
        <w:rPr>
          <w:rFonts w:ascii="Arial" w:eastAsia="Gadugi" w:hAnsi="Arial" w:cs="Arial"/>
          <w:sz w:val="24"/>
          <w:lang w:bidi="fr-CA"/>
        </w:rPr>
        <w:t xml:space="preserve">avril au 31 mars. </w:t>
      </w:r>
    </w:p>
    <w:p w14:paraId="32C1FA47" w14:textId="294576CB"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sz w:val="24"/>
          <w:szCs w:val="24"/>
        </w:rPr>
      </w:pPr>
      <w:r w:rsidRPr="00986EB0">
        <w:rPr>
          <w:rFonts w:ascii="Arial" w:eastAsia="Gadugi" w:hAnsi="Arial" w:cs="Arial"/>
          <w:sz w:val="24"/>
          <w:lang w:bidi="fr-CA"/>
        </w:rPr>
        <w:t>Les trois options comprenaient un tarif initial pour le</w:t>
      </w:r>
      <w:sdt>
        <w:sdtPr>
          <w:rPr>
            <w:rFonts w:ascii="Arial" w:hAnsi="Arial" w:cs="Arial"/>
          </w:rPr>
          <w:tag w:val="goog_rdk_13"/>
          <w:id w:val="-2141560909"/>
        </w:sdtPr>
        <w:sdtEndPr/>
        <w:sdtContent>
          <w:r w:rsidR="00F512C9" w:rsidRPr="00986EB0">
            <w:rPr>
              <w:rFonts w:ascii="Arial" w:eastAsia="Gadugi" w:hAnsi="Arial" w:cs="Arial"/>
              <w:lang w:bidi="fr-CA"/>
            </w:rPr>
            <w:t xml:space="preserve"> </w:t>
          </w:r>
          <w:r w:rsidRPr="00986EB0">
            <w:rPr>
              <w:rFonts w:ascii="Arial" w:eastAsia="Gadugi" w:hAnsi="Arial" w:cs="Arial"/>
              <w:sz w:val="24"/>
              <w:lang w:bidi="fr-CA"/>
            </w:rPr>
            <w:t>promoteur</w:t>
          </w:r>
        </w:sdtContent>
      </w:sdt>
      <w:r w:rsidRPr="00986EB0">
        <w:rPr>
          <w:rFonts w:ascii="Arial" w:eastAsia="Gadugi" w:hAnsi="Arial" w:cs="Arial"/>
          <w:sz w:val="24"/>
          <w:lang w:bidi="fr-CA"/>
        </w:rPr>
        <w:t xml:space="preserve"> PÉCI ayant conclu un accord d</w:t>
      </w:r>
      <w:r w:rsidR="00DE3A58" w:rsidRPr="00986EB0">
        <w:rPr>
          <w:rFonts w:ascii="Arial" w:eastAsia="Gadugi" w:hAnsi="Arial" w:cs="Arial"/>
          <w:sz w:val="24"/>
          <w:lang w:bidi="fr-CA"/>
        </w:rPr>
        <w:t>’</w:t>
      </w:r>
      <w:r w:rsidRPr="00986EB0">
        <w:rPr>
          <w:rFonts w:ascii="Arial" w:eastAsia="Gadugi" w:hAnsi="Arial" w:cs="Arial"/>
          <w:sz w:val="24"/>
          <w:lang w:bidi="fr-CA"/>
        </w:rPr>
        <w:t>achat d</w:t>
      </w:r>
      <w:r w:rsidR="00DE3A58" w:rsidRPr="00986EB0">
        <w:rPr>
          <w:rFonts w:ascii="Arial" w:eastAsia="Gadugi" w:hAnsi="Arial" w:cs="Arial"/>
          <w:sz w:val="24"/>
          <w:lang w:bidi="fr-CA"/>
        </w:rPr>
        <w:t>’</w:t>
      </w:r>
      <w:r w:rsidRPr="00986EB0">
        <w:rPr>
          <w:rFonts w:ascii="Arial" w:eastAsia="Gadugi" w:hAnsi="Arial" w:cs="Arial"/>
          <w:sz w:val="24"/>
          <w:lang w:bidi="fr-CA"/>
        </w:rPr>
        <w:t>énergie (AAÉ), un tarif minimum garanti pour la durée de l</w:t>
      </w:r>
      <w:r w:rsidR="00DE3A58" w:rsidRPr="00986EB0">
        <w:rPr>
          <w:rFonts w:ascii="Arial" w:eastAsia="Gadugi" w:hAnsi="Arial" w:cs="Arial"/>
          <w:sz w:val="24"/>
          <w:lang w:bidi="fr-CA"/>
        </w:rPr>
        <w:t>’</w:t>
      </w:r>
      <w:r w:rsidRPr="00986EB0">
        <w:rPr>
          <w:rFonts w:ascii="Arial" w:eastAsia="Gadugi" w:hAnsi="Arial" w:cs="Arial"/>
          <w:sz w:val="24"/>
          <w:lang w:bidi="fr-CA"/>
        </w:rPr>
        <w:t>AAÉ, une méthode et une périodicité d</w:t>
      </w:r>
      <w:r w:rsidR="00DE3A58" w:rsidRPr="00986EB0">
        <w:rPr>
          <w:rFonts w:ascii="Arial" w:eastAsia="Gadugi" w:hAnsi="Arial" w:cs="Arial"/>
          <w:sz w:val="24"/>
          <w:lang w:bidi="fr-CA"/>
        </w:rPr>
        <w:t>’</w:t>
      </w:r>
      <w:r w:rsidRPr="00986EB0">
        <w:rPr>
          <w:rFonts w:ascii="Arial" w:eastAsia="Gadugi" w:hAnsi="Arial" w:cs="Arial"/>
          <w:sz w:val="24"/>
          <w:lang w:bidi="fr-CA"/>
        </w:rPr>
        <w:t>ajustement du prix d</w:t>
      </w:r>
      <w:r w:rsidR="00DE3A58" w:rsidRPr="00986EB0">
        <w:rPr>
          <w:rFonts w:ascii="Arial" w:eastAsia="Gadugi" w:hAnsi="Arial" w:cs="Arial"/>
          <w:sz w:val="24"/>
          <w:lang w:bidi="fr-CA"/>
        </w:rPr>
        <w:t>’</w:t>
      </w:r>
      <w:r w:rsidRPr="00986EB0">
        <w:rPr>
          <w:rFonts w:ascii="Arial" w:eastAsia="Gadugi" w:hAnsi="Arial" w:cs="Arial"/>
          <w:sz w:val="24"/>
          <w:lang w:bidi="fr-CA"/>
        </w:rPr>
        <w:t>achat de l</w:t>
      </w:r>
      <w:r w:rsidR="00DE3A58" w:rsidRPr="00986EB0">
        <w:rPr>
          <w:rFonts w:ascii="Arial" w:eastAsia="Gadugi" w:hAnsi="Arial" w:cs="Arial"/>
          <w:sz w:val="24"/>
          <w:lang w:bidi="fr-CA"/>
        </w:rPr>
        <w:t>’</w:t>
      </w:r>
      <w:r w:rsidRPr="00986EB0">
        <w:rPr>
          <w:rFonts w:ascii="Arial" w:eastAsia="Gadugi" w:hAnsi="Arial" w:cs="Arial"/>
          <w:sz w:val="24"/>
          <w:lang w:bidi="fr-CA"/>
        </w:rPr>
        <w:t>énergie et une durée de 25 ans de l</w:t>
      </w:r>
      <w:r w:rsidR="00DE3A58" w:rsidRPr="00986EB0">
        <w:rPr>
          <w:rFonts w:ascii="Arial" w:eastAsia="Gadugi" w:hAnsi="Arial" w:cs="Arial"/>
          <w:sz w:val="24"/>
          <w:lang w:bidi="fr-CA"/>
        </w:rPr>
        <w:t>’</w:t>
      </w:r>
      <w:r w:rsidRPr="00986EB0">
        <w:rPr>
          <w:rFonts w:ascii="Arial" w:eastAsia="Gadugi" w:hAnsi="Arial" w:cs="Arial"/>
          <w:sz w:val="24"/>
          <w:lang w:bidi="fr-CA"/>
        </w:rPr>
        <w:t>AAÉ. La SÉQ a fourni quelques détails sur chacune des trois options.</w:t>
      </w:r>
    </w:p>
    <w:p w14:paraId="56AB3209" w14:textId="1FCC82A6"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sz w:val="24"/>
          <w:szCs w:val="24"/>
        </w:rPr>
      </w:pPr>
      <w:r w:rsidRPr="00986EB0">
        <w:rPr>
          <w:rFonts w:ascii="Arial" w:eastAsia="Gadugi" w:hAnsi="Arial" w:cs="Arial"/>
          <w:sz w:val="24"/>
          <w:lang w:bidi="fr-CA"/>
        </w:rPr>
        <w:t>La SÉQ a recommandé sa troisième option, qui inclut des aspects des deux autres options. Comme l</w:t>
      </w:r>
      <w:r w:rsidR="00DE3A58" w:rsidRPr="00986EB0">
        <w:rPr>
          <w:rFonts w:ascii="Arial" w:eastAsia="Gadugi" w:hAnsi="Arial" w:cs="Arial"/>
          <w:sz w:val="24"/>
          <w:lang w:bidi="fr-CA"/>
        </w:rPr>
        <w:t>’</w:t>
      </w:r>
      <w:r w:rsidRPr="00986EB0">
        <w:rPr>
          <w:rFonts w:ascii="Arial" w:eastAsia="Gadugi" w:hAnsi="Arial" w:cs="Arial"/>
          <w:sz w:val="24"/>
          <w:lang w:bidi="fr-CA"/>
        </w:rPr>
        <w:t>a résumé la SÉQ :</w:t>
      </w:r>
    </w:p>
    <w:p w14:paraId="00AB5E9C" w14:textId="23CF5ACC" w:rsidR="003D56E8" w:rsidRPr="00986EB0" w:rsidRDefault="00E725FC" w:rsidP="005772D0">
      <w:pPr>
        <w:widowControl/>
        <w:numPr>
          <w:ilvl w:val="3"/>
          <w:numId w:val="4"/>
        </w:numPr>
        <w:pBdr>
          <w:top w:val="nil"/>
          <w:left w:val="nil"/>
          <w:bottom w:val="nil"/>
          <w:right w:val="nil"/>
          <w:between w:val="nil"/>
        </w:pBdr>
        <w:tabs>
          <w:tab w:val="left" w:pos="885"/>
        </w:tabs>
        <w:spacing w:line="360" w:lineRule="auto"/>
        <w:ind w:left="1541" w:right="-14" w:hanging="274"/>
        <w:rPr>
          <w:rFonts w:ascii="Arial" w:hAnsi="Arial" w:cs="Arial"/>
          <w:sz w:val="24"/>
          <w:szCs w:val="24"/>
        </w:rPr>
      </w:pPr>
      <w:r w:rsidRPr="00986EB0">
        <w:rPr>
          <w:rFonts w:ascii="Arial" w:eastAsia="Gadugi" w:hAnsi="Arial" w:cs="Arial"/>
          <w:sz w:val="24"/>
          <w:lang w:bidi="fr-CA"/>
        </w:rPr>
        <w:lastRenderedPageBreak/>
        <w:t>Le tarif initial d</w:t>
      </w:r>
      <w:r w:rsidR="00DE3A58" w:rsidRPr="00986EB0">
        <w:rPr>
          <w:rFonts w:ascii="Arial" w:eastAsia="Gadugi" w:hAnsi="Arial" w:cs="Arial"/>
          <w:sz w:val="24"/>
          <w:lang w:bidi="fr-CA"/>
        </w:rPr>
        <w:t>’</w:t>
      </w:r>
      <w:r w:rsidRPr="00986EB0">
        <w:rPr>
          <w:rFonts w:ascii="Arial" w:eastAsia="Gadugi" w:hAnsi="Arial" w:cs="Arial"/>
          <w:sz w:val="24"/>
          <w:lang w:bidi="fr-CA"/>
        </w:rPr>
        <w:t>un PÉCI pourrait être calculé soit sur la base des données annuelles de l</w:t>
      </w:r>
      <w:r w:rsidR="00DE3A58" w:rsidRPr="00986EB0">
        <w:rPr>
          <w:rFonts w:ascii="Arial" w:eastAsia="Gadugi" w:hAnsi="Arial" w:cs="Arial"/>
          <w:sz w:val="24"/>
          <w:lang w:bidi="fr-CA"/>
        </w:rPr>
        <w:t>’</w:t>
      </w:r>
      <w:r w:rsidRPr="00986EB0">
        <w:rPr>
          <w:rFonts w:ascii="Arial" w:eastAsia="Gadugi" w:hAnsi="Arial" w:cs="Arial"/>
          <w:sz w:val="24"/>
          <w:lang w:bidi="fr-CA"/>
        </w:rPr>
        <w:t>exercice précédant la date d</w:t>
      </w:r>
      <w:r w:rsidR="00DE3A58" w:rsidRPr="00986EB0">
        <w:rPr>
          <w:rFonts w:ascii="Arial" w:eastAsia="Gadugi" w:hAnsi="Arial" w:cs="Arial"/>
          <w:sz w:val="24"/>
          <w:lang w:bidi="fr-CA"/>
        </w:rPr>
        <w:t>’</w:t>
      </w:r>
      <w:r w:rsidRPr="00986EB0">
        <w:rPr>
          <w:rFonts w:ascii="Arial" w:eastAsia="Gadugi" w:hAnsi="Arial" w:cs="Arial"/>
          <w:sz w:val="24"/>
          <w:lang w:bidi="fr-CA"/>
        </w:rPr>
        <w:t>entrée en vigueur de l</w:t>
      </w:r>
      <w:r w:rsidR="00DE3A58" w:rsidRPr="00986EB0">
        <w:rPr>
          <w:rFonts w:ascii="Arial" w:eastAsia="Gadugi" w:hAnsi="Arial" w:cs="Arial"/>
          <w:sz w:val="24"/>
          <w:lang w:bidi="fr-CA"/>
        </w:rPr>
        <w:t>’</w:t>
      </w:r>
      <w:r w:rsidRPr="00986EB0">
        <w:rPr>
          <w:rFonts w:ascii="Arial" w:eastAsia="Gadugi" w:hAnsi="Arial" w:cs="Arial"/>
          <w:sz w:val="24"/>
          <w:lang w:bidi="fr-CA"/>
        </w:rPr>
        <w:t>AAÉ, soit sur la base de la moyenne des données annuelles des trois années précédant la date d</w:t>
      </w:r>
      <w:r w:rsidR="00DE3A58" w:rsidRPr="00986EB0">
        <w:rPr>
          <w:rFonts w:ascii="Arial" w:eastAsia="Gadugi" w:hAnsi="Arial" w:cs="Arial"/>
          <w:sz w:val="24"/>
          <w:lang w:bidi="fr-CA"/>
        </w:rPr>
        <w:t>’</w:t>
      </w:r>
      <w:r w:rsidRPr="00986EB0">
        <w:rPr>
          <w:rFonts w:ascii="Arial" w:eastAsia="Gadugi" w:hAnsi="Arial" w:cs="Arial"/>
          <w:sz w:val="24"/>
          <w:lang w:bidi="fr-CA"/>
        </w:rPr>
        <w:t>entrée en vigueur de celui-ci, l</w:t>
      </w:r>
      <w:r w:rsidR="00DE3A58" w:rsidRPr="00986EB0">
        <w:rPr>
          <w:rFonts w:ascii="Arial" w:eastAsia="Gadugi" w:hAnsi="Arial" w:cs="Arial"/>
          <w:sz w:val="24"/>
          <w:lang w:bidi="fr-CA"/>
        </w:rPr>
        <w:t>’</w:t>
      </w:r>
      <w:r w:rsidRPr="00986EB0">
        <w:rPr>
          <w:rFonts w:ascii="Arial" w:eastAsia="Gadugi" w:hAnsi="Arial" w:cs="Arial"/>
          <w:sz w:val="24"/>
          <w:lang w:bidi="fr-CA"/>
        </w:rPr>
        <w:t>approbation du tarif devant être recalculé après examen et recommandation du CETES. La SÉQ a proposé que l</w:t>
      </w:r>
      <w:r w:rsidR="00DE3A58" w:rsidRPr="00986EB0">
        <w:rPr>
          <w:rFonts w:ascii="Arial" w:eastAsia="Gadugi" w:hAnsi="Arial" w:cs="Arial"/>
          <w:sz w:val="24"/>
          <w:lang w:bidi="fr-CA"/>
        </w:rPr>
        <w:t>’</w:t>
      </w:r>
      <w:r w:rsidRPr="00986EB0">
        <w:rPr>
          <w:rFonts w:ascii="Arial" w:eastAsia="Gadugi" w:hAnsi="Arial" w:cs="Arial"/>
          <w:sz w:val="24"/>
          <w:lang w:bidi="fr-CA"/>
        </w:rPr>
        <w:t>examen et le nouveau calcul soient effectués au moment de la présentation d</w:t>
      </w:r>
      <w:r w:rsidR="00DE3A58" w:rsidRPr="00986EB0">
        <w:rPr>
          <w:rFonts w:ascii="Arial" w:eastAsia="Gadugi" w:hAnsi="Arial" w:cs="Arial"/>
          <w:sz w:val="24"/>
          <w:lang w:bidi="fr-CA"/>
        </w:rPr>
        <w:t>’</w:t>
      </w:r>
      <w:r w:rsidRPr="00986EB0">
        <w:rPr>
          <w:rFonts w:ascii="Arial" w:eastAsia="Gadugi" w:hAnsi="Arial" w:cs="Arial"/>
          <w:sz w:val="24"/>
          <w:lang w:bidi="fr-CA"/>
        </w:rPr>
        <w:t>une requête en majoration tarifaire générale (RMTG). Le SÉQ a recommandé la méthode de la moyenne sur 3 </w:t>
      </w:r>
      <w:r w:rsidR="005772D0" w:rsidRPr="00986EB0">
        <w:rPr>
          <w:rFonts w:ascii="Arial" w:eastAsia="Gadugi" w:hAnsi="Arial" w:cs="Arial"/>
          <w:sz w:val="24"/>
          <w:lang w:bidi="fr-CA"/>
        </w:rPr>
        <w:noBreakHyphen/>
      </w:r>
      <w:r w:rsidRPr="00986EB0">
        <w:rPr>
          <w:rFonts w:ascii="Arial" w:eastAsia="Gadugi" w:hAnsi="Arial" w:cs="Arial"/>
          <w:sz w:val="24"/>
          <w:lang w:bidi="fr-CA"/>
        </w:rPr>
        <w:t>ans.</w:t>
      </w:r>
    </w:p>
    <w:p w14:paraId="49594A42" w14:textId="42C2DFD9" w:rsidR="003D56E8" w:rsidRPr="00986EB0" w:rsidRDefault="00E725FC" w:rsidP="00F76E84">
      <w:pPr>
        <w:numPr>
          <w:ilvl w:val="3"/>
          <w:numId w:val="4"/>
        </w:numPr>
        <w:pBdr>
          <w:top w:val="nil"/>
          <w:left w:val="nil"/>
          <w:bottom w:val="nil"/>
          <w:right w:val="nil"/>
          <w:between w:val="nil"/>
        </w:pBdr>
        <w:tabs>
          <w:tab w:val="left" w:pos="885"/>
        </w:tabs>
        <w:spacing w:before="120" w:line="360" w:lineRule="auto"/>
        <w:ind w:left="1541" w:right="115" w:hanging="274"/>
        <w:rPr>
          <w:rFonts w:ascii="Arial" w:hAnsi="Arial" w:cs="Arial"/>
          <w:sz w:val="24"/>
          <w:szCs w:val="24"/>
        </w:rPr>
      </w:pPr>
      <w:r w:rsidRPr="00986EB0">
        <w:rPr>
          <w:rFonts w:ascii="Arial" w:eastAsia="Gadugi" w:hAnsi="Arial" w:cs="Arial"/>
          <w:sz w:val="24"/>
          <w:lang w:bidi="fr-CA"/>
        </w:rPr>
        <w:t>Le tarif initial sera considéré comme le tarif minimum garanti pour la durée de l</w:t>
      </w:r>
      <w:r w:rsidR="00DE3A58" w:rsidRPr="00986EB0">
        <w:rPr>
          <w:rFonts w:ascii="Arial" w:eastAsia="Gadugi" w:hAnsi="Arial" w:cs="Arial"/>
          <w:sz w:val="24"/>
          <w:lang w:bidi="fr-CA"/>
        </w:rPr>
        <w:t>’</w:t>
      </w:r>
      <w:r w:rsidRPr="00986EB0">
        <w:rPr>
          <w:rFonts w:ascii="Arial" w:eastAsia="Gadugi" w:hAnsi="Arial" w:cs="Arial"/>
          <w:sz w:val="24"/>
          <w:lang w:bidi="fr-CA"/>
        </w:rPr>
        <w:t>AAÉ.</w:t>
      </w:r>
    </w:p>
    <w:p w14:paraId="018299AD" w14:textId="25EB1F56" w:rsidR="003D56E8" w:rsidRPr="00986EB0" w:rsidRDefault="00E725FC">
      <w:pPr>
        <w:numPr>
          <w:ilvl w:val="3"/>
          <w:numId w:val="4"/>
        </w:numPr>
        <w:pBdr>
          <w:top w:val="nil"/>
          <w:left w:val="nil"/>
          <w:bottom w:val="nil"/>
          <w:right w:val="nil"/>
          <w:between w:val="nil"/>
        </w:pBdr>
        <w:tabs>
          <w:tab w:val="left" w:pos="885"/>
        </w:tabs>
        <w:spacing w:line="360" w:lineRule="auto"/>
        <w:ind w:right="115" w:hanging="275"/>
        <w:rPr>
          <w:rFonts w:ascii="Arial" w:hAnsi="Arial" w:cs="Arial"/>
          <w:sz w:val="24"/>
          <w:szCs w:val="24"/>
        </w:rPr>
      </w:pPr>
      <w:r w:rsidRPr="00986EB0">
        <w:rPr>
          <w:rFonts w:ascii="Arial" w:eastAsia="Gadugi" w:hAnsi="Arial" w:cs="Arial"/>
          <w:sz w:val="24"/>
          <w:lang w:bidi="fr-CA"/>
        </w:rPr>
        <w:t>Le tarif d</w:t>
      </w:r>
      <w:r w:rsidR="00DE3A58" w:rsidRPr="00986EB0">
        <w:rPr>
          <w:rFonts w:ascii="Arial" w:eastAsia="Gadugi" w:hAnsi="Arial" w:cs="Arial"/>
          <w:sz w:val="24"/>
          <w:lang w:bidi="fr-CA"/>
        </w:rPr>
        <w:t>’</w:t>
      </w:r>
      <w:r w:rsidRPr="00986EB0">
        <w:rPr>
          <w:rFonts w:ascii="Arial" w:eastAsia="Gadugi" w:hAnsi="Arial" w:cs="Arial"/>
          <w:sz w:val="24"/>
          <w:lang w:bidi="fr-CA"/>
        </w:rPr>
        <w:t>achat de l</w:t>
      </w:r>
      <w:r w:rsidR="00DE3A58" w:rsidRPr="00986EB0">
        <w:rPr>
          <w:rFonts w:ascii="Arial" w:eastAsia="Gadugi" w:hAnsi="Arial" w:cs="Arial"/>
          <w:sz w:val="24"/>
          <w:lang w:bidi="fr-CA"/>
        </w:rPr>
        <w:t>’</w:t>
      </w:r>
      <w:r w:rsidRPr="00986EB0">
        <w:rPr>
          <w:rFonts w:ascii="Arial" w:eastAsia="Gadugi" w:hAnsi="Arial" w:cs="Arial"/>
          <w:sz w:val="24"/>
          <w:lang w:bidi="fr-CA"/>
        </w:rPr>
        <w:t>électricité sera recalculé chaque année en utilisant soit les prix du carburant de l</w:t>
      </w:r>
      <w:r w:rsidR="00DE3A58" w:rsidRPr="00986EB0">
        <w:rPr>
          <w:rFonts w:ascii="Arial" w:eastAsia="Gadugi" w:hAnsi="Arial" w:cs="Arial"/>
          <w:sz w:val="24"/>
          <w:lang w:bidi="fr-CA"/>
        </w:rPr>
        <w:t>’</w:t>
      </w:r>
      <w:r w:rsidRPr="00986EB0">
        <w:rPr>
          <w:rFonts w:ascii="Arial" w:eastAsia="Gadugi" w:hAnsi="Arial" w:cs="Arial"/>
          <w:sz w:val="24"/>
          <w:lang w:bidi="fr-CA"/>
        </w:rPr>
        <w:t>année précédente, soit la moyenne des prix du carburant des trois années précédentes, mais seulement après révision par le CETES conformément à la RMTG :</w:t>
      </w:r>
    </w:p>
    <w:p w14:paraId="0A4E3CAC" w14:textId="77CCF96B" w:rsidR="003D56E8" w:rsidRPr="00986EB0" w:rsidRDefault="00A755CB" w:rsidP="005772D0">
      <w:pPr>
        <w:pStyle w:val="Paragraphedeliste"/>
        <w:numPr>
          <w:ilvl w:val="0"/>
          <w:numId w:val="9"/>
        </w:numPr>
        <w:pBdr>
          <w:top w:val="nil"/>
          <w:left w:val="nil"/>
          <w:bottom w:val="nil"/>
          <w:right w:val="nil"/>
          <w:between w:val="nil"/>
        </w:pBdr>
        <w:tabs>
          <w:tab w:val="left" w:pos="885"/>
        </w:tabs>
        <w:spacing w:before="60" w:line="360" w:lineRule="auto"/>
        <w:ind w:left="2160" w:right="115"/>
        <w:rPr>
          <w:rFonts w:ascii="Arial" w:hAnsi="Arial" w:cs="Arial"/>
          <w:sz w:val="24"/>
          <w:szCs w:val="24"/>
        </w:rPr>
      </w:pPr>
      <w:r w:rsidRPr="00986EB0">
        <w:rPr>
          <w:rFonts w:ascii="Arial" w:eastAsia="Gadugi" w:hAnsi="Arial" w:cs="Arial"/>
          <w:sz w:val="24"/>
          <w:lang w:bidi="fr-CA"/>
        </w:rPr>
        <w:t>Le tarif d</w:t>
      </w:r>
      <w:r w:rsidR="00DE3A58" w:rsidRPr="00986EB0">
        <w:rPr>
          <w:rFonts w:ascii="Arial" w:eastAsia="Gadugi" w:hAnsi="Arial" w:cs="Arial"/>
          <w:sz w:val="24"/>
          <w:lang w:bidi="fr-CA"/>
        </w:rPr>
        <w:t>’</w:t>
      </w:r>
      <w:r w:rsidRPr="00986EB0">
        <w:rPr>
          <w:rFonts w:ascii="Arial" w:eastAsia="Gadugi" w:hAnsi="Arial" w:cs="Arial"/>
          <w:sz w:val="24"/>
          <w:lang w:bidi="fr-CA"/>
        </w:rPr>
        <w:t>achat de l</w:t>
      </w:r>
      <w:r w:rsidR="00DE3A58" w:rsidRPr="00986EB0">
        <w:rPr>
          <w:rFonts w:ascii="Arial" w:eastAsia="Gadugi" w:hAnsi="Arial" w:cs="Arial"/>
          <w:sz w:val="24"/>
          <w:lang w:bidi="fr-CA"/>
        </w:rPr>
        <w:t>’</w:t>
      </w:r>
      <w:r w:rsidRPr="00986EB0">
        <w:rPr>
          <w:rFonts w:ascii="Arial" w:eastAsia="Gadugi" w:hAnsi="Arial" w:cs="Arial"/>
          <w:sz w:val="24"/>
          <w:lang w:bidi="fr-CA"/>
        </w:rPr>
        <w:t>électricité sera augmenté pour l</w:t>
      </w:r>
      <w:r w:rsidR="00DE3A58" w:rsidRPr="00986EB0">
        <w:rPr>
          <w:rFonts w:ascii="Arial" w:eastAsia="Gadugi" w:hAnsi="Arial" w:cs="Arial"/>
          <w:sz w:val="24"/>
          <w:lang w:bidi="fr-CA"/>
        </w:rPr>
        <w:t>’</w:t>
      </w:r>
      <w:r w:rsidRPr="00986EB0">
        <w:rPr>
          <w:rFonts w:ascii="Arial" w:eastAsia="Gadugi" w:hAnsi="Arial" w:cs="Arial"/>
          <w:sz w:val="24"/>
          <w:lang w:bidi="fr-CA"/>
        </w:rPr>
        <w:t>année en cours à hauteur de 50 % de l</w:t>
      </w:r>
      <w:r w:rsidR="00DE3A58" w:rsidRPr="00986EB0">
        <w:rPr>
          <w:rFonts w:ascii="Arial" w:eastAsia="Gadugi" w:hAnsi="Arial" w:cs="Arial"/>
          <w:sz w:val="24"/>
          <w:lang w:bidi="fr-CA"/>
        </w:rPr>
        <w:t>’</w:t>
      </w:r>
      <w:r w:rsidRPr="00986EB0">
        <w:rPr>
          <w:rFonts w:ascii="Arial" w:eastAsia="Gadugi" w:hAnsi="Arial" w:cs="Arial"/>
          <w:sz w:val="24"/>
          <w:lang w:bidi="fr-CA"/>
        </w:rPr>
        <w:t>augmentation annuelle du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si le prix du di</w:t>
      </w:r>
      <w:r w:rsidR="00DE3A58" w:rsidRPr="00986EB0">
        <w:rPr>
          <w:rFonts w:ascii="Arial" w:eastAsia="Gadugi" w:hAnsi="Arial" w:cs="Arial"/>
          <w:sz w:val="24"/>
          <w:lang w:bidi="fr-CA"/>
        </w:rPr>
        <w:t>é</w:t>
      </w:r>
      <w:r w:rsidRPr="00986EB0">
        <w:rPr>
          <w:rFonts w:ascii="Arial" w:eastAsia="Gadugi" w:hAnsi="Arial" w:cs="Arial"/>
          <w:sz w:val="24"/>
          <w:lang w:bidi="fr-CA"/>
        </w:rPr>
        <w:t>sel a augmenté par rapport à l</w:t>
      </w:r>
      <w:r w:rsidR="00DE3A58" w:rsidRPr="00986EB0">
        <w:rPr>
          <w:rFonts w:ascii="Arial" w:eastAsia="Gadugi" w:hAnsi="Arial" w:cs="Arial"/>
          <w:sz w:val="24"/>
          <w:lang w:bidi="fr-CA"/>
        </w:rPr>
        <w:t>’</w:t>
      </w:r>
      <w:r w:rsidRPr="00986EB0">
        <w:rPr>
          <w:rFonts w:ascii="Arial" w:eastAsia="Gadugi" w:hAnsi="Arial" w:cs="Arial"/>
          <w:sz w:val="24"/>
          <w:lang w:bidi="fr-CA"/>
        </w:rPr>
        <w:t>année précédente.</w:t>
      </w:r>
    </w:p>
    <w:p w14:paraId="767A3626" w14:textId="6D6AD980" w:rsidR="003D56E8" w:rsidRPr="00986EB0" w:rsidRDefault="00A755CB" w:rsidP="005772D0">
      <w:pPr>
        <w:pStyle w:val="Paragraphedeliste"/>
        <w:numPr>
          <w:ilvl w:val="0"/>
          <w:numId w:val="9"/>
        </w:numPr>
        <w:pBdr>
          <w:top w:val="nil"/>
          <w:left w:val="nil"/>
          <w:bottom w:val="nil"/>
          <w:right w:val="nil"/>
          <w:between w:val="nil"/>
        </w:pBdr>
        <w:tabs>
          <w:tab w:val="left" w:pos="885"/>
        </w:tabs>
        <w:spacing w:before="60" w:line="360" w:lineRule="auto"/>
        <w:ind w:left="2160" w:right="115"/>
        <w:rPr>
          <w:rFonts w:ascii="Arial" w:hAnsi="Arial" w:cs="Arial"/>
          <w:sz w:val="24"/>
          <w:szCs w:val="24"/>
        </w:rPr>
      </w:pPr>
      <w:r w:rsidRPr="00986EB0">
        <w:rPr>
          <w:rFonts w:ascii="Arial" w:eastAsia="Gadugi" w:hAnsi="Arial" w:cs="Arial"/>
          <w:sz w:val="24"/>
          <w:lang w:bidi="fr-CA"/>
        </w:rPr>
        <w:t>Le tarif d</w:t>
      </w:r>
      <w:r w:rsidR="00DE3A58" w:rsidRPr="00986EB0">
        <w:rPr>
          <w:rFonts w:ascii="Arial" w:eastAsia="Gadugi" w:hAnsi="Arial" w:cs="Arial"/>
          <w:sz w:val="24"/>
          <w:lang w:bidi="fr-CA"/>
        </w:rPr>
        <w:t>’</w:t>
      </w:r>
      <w:r w:rsidRPr="00986EB0">
        <w:rPr>
          <w:rFonts w:ascii="Arial" w:eastAsia="Gadugi" w:hAnsi="Arial" w:cs="Arial"/>
          <w:sz w:val="24"/>
          <w:lang w:bidi="fr-CA"/>
        </w:rPr>
        <w:t>achat de l</w:t>
      </w:r>
      <w:r w:rsidR="00DE3A58" w:rsidRPr="00986EB0">
        <w:rPr>
          <w:rFonts w:ascii="Arial" w:eastAsia="Gadugi" w:hAnsi="Arial" w:cs="Arial"/>
          <w:sz w:val="24"/>
          <w:lang w:bidi="fr-CA"/>
        </w:rPr>
        <w:t>’</w:t>
      </w:r>
      <w:r w:rsidRPr="00986EB0">
        <w:rPr>
          <w:rFonts w:ascii="Arial" w:eastAsia="Gadugi" w:hAnsi="Arial" w:cs="Arial"/>
          <w:sz w:val="24"/>
          <w:lang w:bidi="fr-CA"/>
        </w:rPr>
        <w:t>électricité sera diminué pour l</w:t>
      </w:r>
      <w:r w:rsidR="00DE3A58" w:rsidRPr="00986EB0">
        <w:rPr>
          <w:rFonts w:ascii="Arial" w:eastAsia="Gadugi" w:hAnsi="Arial" w:cs="Arial"/>
          <w:sz w:val="24"/>
          <w:lang w:bidi="fr-CA"/>
        </w:rPr>
        <w:t>’</w:t>
      </w:r>
      <w:r w:rsidRPr="00986EB0">
        <w:rPr>
          <w:rFonts w:ascii="Arial" w:eastAsia="Gadugi" w:hAnsi="Arial" w:cs="Arial"/>
          <w:sz w:val="24"/>
          <w:lang w:bidi="fr-CA"/>
        </w:rPr>
        <w:t>année en cours à 100 % de la réduction moyenne annuelle ou triennale du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si le prix du di</w:t>
      </w:r>
      <w:r w:rsidR="00DE3A58" w:rsidRPr="00986EB0">
        <w:rPr>
          <w:rFonts w:ascii="Arial" w:eastAsia="Gadugi" w:hAnsi="Arial" w:cs="Arial"/>
          <w:sz w:val="24"/>
          <w:lang w:bidi="fr-CA"/>
        </w:rPr>
        <w:t>é</w:t>
      </w:r>
      <w:r w:rsidRPr="00986EB0">
        <w:rPr>
          <w:rFonts w:ascii="Arial" w:eastAsia="Gadugi" w:hAnsi="Arial" w:cs="Arial"/>
          <w:sz w:val="24"/>
          <w:lang w:bidi="fr-CA"/>
        </w:rPr>
        <w:t>sel a diminué par rapport à la moyenne annuelle ou triennale antérieure. Le tarif ne diminuera pas en dessous du taux initial fixé dans l</w:t>
      </w:r>
      <w:r w:rsidR="00DE3A58" w:rsidRPr="00986EB0">
        <w:rPr>
          <w:rFonts w:ascii="Arial" w:eastAsia="Gadugi" w:hAnsi="Arial" w:cs="Arial"/>
          <w:sz w:val="24"/>
          <w:lang w:bidi="fr-CA"/>
        </w:rPr>
        <w:t>’</w:t>
      </w:r>
      <w:r w:rsidRPr="00986EB0">
        <w:rPr>
          <w:rFonts w:ascii="Arial" w:eastAsia="Gadugi" w:hAnsi="Arial" w:cs="Arial"/>
          <w:sz w:val="24"/>
          <w:lang w:bidi="fr-CA"/>
        </w:rPr>
        <w:t>AAÉ.</w:t>
      </w:r>
    </w:p>
    <w:p w14:paraId="497C46D4" w14:textId="5BB823E2" w:rsidR="003D56E8" w:rsidRPr="00986EB0" w:rsidRDefault="00A755CB" w:rsidP="005772D0">
      <w:pPr>
        <w:pStyle w:val="Paragraphedeliste"/>
        <w:numPr>
          <w:ilvl w:val="0"/>
          <w:numId w:val="9"/>
        </w:numPr>
        <w:pBdr>
          <w:top w:val="nil"/>
          <w:left w:val="nil"/>
          <w:bottom w:val="nil"/>
          <w:right w:val="nil"/>
          <w:between w:val="nil"/>
        </w:pBdr>
        <w:tabs>
          <w:tab w:val="left" w:pos="885"/>
        </w:tabs>
        <w:spacing w:before="60" w:line="360" w:lineRule="auto"/>
        <w:ind w:left="2160" w:right="115"/>
        <w:rPr>
          <w:rFonts w:ascii="Arial" w:hAnsi="Arial" w:cs="Arial"/>
          <w:sz w:val="24"/>
          <w:szCs w:val="24"/>
        </w:rPr>
      </w:pPr>
      <w:r w:rsidRPr="00986EB0">
        <w:rPr>
          <w:rFonts w:ascii="Arial" w:eastAsia="Gadugi" w:hAnsi="Arial" w:cs="Arial"/>
          <w:sz w:val="24"/>
          <w:lang w:bidi="fr-CA"/>
        </w:rPr>
        <w:t>L</w:t>
      </w:r>
      <w:r w:rsidR="00DE3A58" w:rsidRPr="00986EB0">
        <w:rPr>
          <w:rFonts w:ascii="Arial" w:eastAsia="Gadugi" w:hAnsi="Arial" w:cs="Arial"/>
          <w:sz w:val="24"/>
          <w:lang w:bidi="fr-CA"/>
        </w:rPr>
        <w:t>’</w:t>
      </w:r>
      <w:r w:rsidRPr="00986EB0">
        <w:rPr>
          <w:rFonts w:ascii="Arial" w:eastAsia="Gadugi" w:hAnsi="Arial" w:cs="Arial"/>
          <w:sz w:val="24"/>
          <w:lang w:bidi="fr-CA"/>
        </w:rPr>
        <w:t>augmentation globale des tarifs d</w:t>
      </w:r>
      <w:r w:rsidR="00DE3A58" w:rsidRPr="00986EB0">
        <w:rPr>
          <w:rFonts w:ascii="Arial" w:eastAsia="Gadugi" w:hAnsi="Arial" w:cs="Arial"/>
          <w:sz w:val="24"/>
          <w:lang w:bidi="fr-CA"/>
        </w:rPr>
        <w:t>’</w:t>
      </w:r>
      <w:r w:rsidRPr="00986EB0">
        <w:rPr>
          <w:rFonts w:ascii="Arial" w:eastAsia="Gadugi" w:hAnsi="Arial" w:cs="Arial"/>
          <w:sz w:val="24"/>
          <w:lang w:bidi="fr-CA"/>
        </w:rPr>
        <w:t>achat d</w:t>
      </w:r>
      <w:r w:rsidR="00DE3A58" w:rsidRPr="00986EB0">
        <w:rPr>
          <w:rFonts w:ascii="Arial" w:eastAsia="Gadugi" w:hAnsi="Arial" w:cs="Arial"/>
          <w:sz w:val="24"/>
          <w:lang w:bidi="fr-CA"/>
        </w:rPr>
        <w:t>’</w:t>
      </w:r>
      <w:r w:rsidRPr="00986EB0">
        <w:rPr>
          <w:rFonts w:ascii="Arial" w:eastAsia="Gadugi" w:hAnsi="Arial" w:cs="Arial"/>
          <w:sz w:val="24"/>
          <w:lang w:bidi="fr-CA"/>
        </w:rPr>
        <w:t>électricité pendant la durée de l</w:t>
      </w:r>
      <w:r w:rsidR="00DE3A58" w:rsidRPr="00986EB0">
        <w:rPr>
          <w:rFonts w:ascii="Arial" w:eastAsia="Gadugi" w:hAnsi="Arial" w:cs="Arial"/>
          <w:sz w:val="24"/>
          <w:lang w:bidi="fr-CA"/>
        </w:rPr>
        <w:t>’</w:t>
      </w:r>
      <w:r w:rsidRPr="00986EB0">
        <w:rPr>
          <w:rFonts w:ascii="Arial" w:eastAsia="Gadugi" w:hAnsi="Arial" w:cs="Arial"/>
          <w:sz w:val="24"/>
          <w:lang w:bidi="fr-CA"/>
        </w:rPr>
        <w:t>accord est plafonnée à 20 % du tarif initial proposé dans l</w:t>
      </w:r>
      <w:r w:rsidR="00DE3A58" w:rsidRPr="00986EB0">
        <w:rPr>
          <w:rFonts w:ascii="Arial" w:eastAsia="Gadugi" w:hAnsi="Arial" w:cs="Arial"/>
          <w:sz w:val="24"/>
          <w:lang w:bidi="fr-CA"/>
        </w:rPr>
        <w:t>’</w:t>
      </w:r>
      <w:r w:rsidRPr="00986EB0">
        <w:rPr>
          <w:rFonts w:ascii="Arial" w:eastAsia="Gadugi" w:hAnsi="Arial" w:cs="Arial"/>
          <w:sz w:val="24"/>
          <w:lang w:bidi="fr-CA"/>
        </w:rPr>
        <w:t>AAÉ.</w:t>
      </w:r>
    </w:p>
    <w:p w14:paraId="3FB60E5B" w14:textId="62A5F9DE" w:rsidR="003D56E8" w:rsidRPr="00986EB0" w:rsidRDefault="00E725FC">
      <w:pPr>
        <w:numPr>
          <w:ilvl w:val="3"/>
          <w:numId w:val="4"/>
        </w:numPr>
        <w:pBdr>
          <w:top w:val="nil"/>
          <w:left w:val="nil"/>
          <w:bottom w:val="nil"/>
          <w:right w:val="nil"/>
          <w:between w:val="nil"/>
        </w:pBdr>
        <w:tabs>
          <w:tab w:val="left" w:pos="885"/>
        </w:tabs>
        <w:spacing w:line="360" w:lineRule="auto"/>
        <w:ind w:right="115" w:hanging="275"/>
        <w:rPr>
          <w:rFonts w:ascii="Arial" w:hAnsi="Arial" w:cs="Arial"/>
          <w:sz w:val="24"/>
          <w:szCs w:val="24"/>
        </w:rPr>
      </w:pPr>
      <w:r w:rsidRPr="00986EB0">
        <w:rPr>
          <w:rFonts w:ascii="Arial" w:eastAsia="Gadugi" w:hAnsi="Arial" w:cs="Arial"/>
          <w:sz w:val="24"/>
          <w:lang w:bidi="fr-CA"/>
        </w:rPr>
        <w:t>La durée de l’AAÉ sera de 25 ans.</w:t>
      </w:r>
    </w:p>
    <w:p w14:paraId="46517CA5" w14:textId="2023FEA9" w:rsidR="003D56E8" w:rsidRPr="00986EB0" w:rsidRDefault="00E725FC">
      <w:pPr>
        <w:numPr>
          <w:ilvl w:val="3"/>
          <w:numId w:val="4"/>
        </w:numPr>
        <w:pBdr>
          <w:top w:val="nil"/>
          <w:left w:val="nil"/>
          <w:bottom w:val="nil"/>
          <w:right w:val="nil"/>
          <w:between w:val="nil"/>
        </w:pBdr>
        <w:tabs>
          <w:tab w:val="left" w:pos="885"/>
        </w:tabs>
        <w:spacing w:line="360" w:lineRule="auto"/>
        <w:ind w:right="115" w:hanging="275"/>
        <w:rPr>
          <w:rFonts w:ascii="Arial" w:hAnsi="Arial" w:cs="Arial"/>
          <w:sz w:val="24"/>
          <w:szCs w:val="24"/>
        </w:rPr>
      </w:pPr>
      <w:r w:rsidRPr="00986EB0">
        <w:rPr>
          <w:rFonts w:ascii="Arial" w:eastAsia="Gadugi" w:hAnsi="Arial" w:cs="Arial"/>
          <w:sz w:val="24"/>
          <w:lang w:bidi="fr-CA"/>
        </w:rPr>
        <w:t>Le tarif initial actuel d</w:t>
      </w:r>
      <w:r w:rsidR="00DE3A58" w:rsidRPr="00986EB0">
        <w:rPr>
          <w:rFonts w:ascii="Arial" w:eastAsia="Gadugi" w:hAnsi="Arial" w:cs="Arial"/>
          <w:sz w:val="24"/>
          <w:lang w:bidi="fr-CA"/>
        </w:rPr>
        <w:t>’</w:t>
      </w:r>
      <w:r w:rsidRPr="00986EB0">
        <w:rPr>
          <w:rFonts w:ascii="Arial" w:eastAsia="Gadugi" w:hAnsi="Arial" w:cs="Arial"/>
          <w:sz w:val="24"/>
          <w:lang w:bidi="fr-CA"/>
        </w:rPr>
        <w:t>achat d</w:t>
      </w:r>
      <w:r w:rsidR="00DE3A58" w:rsidRPr="00986EB0">
        <w:rPr>
          <w:rFonts w:ascii="Arial" w:eastAsia="Gadugi" w:hAnsi="Arial" w:cs="Arial"/>
          <w:sz w:val="24"/>
          <w:lang w:bidi="fr-CA"/>
        </w:rPr>
        <w:t>’</w:t>
      </w:r>
      <w:r w:rsidRPr="00986EB0">
        <w:rPr>
          <w:rFonts w:ascii="Arial" w:eastAsia="Gadugi" w:hAnsi="Arial" w:cs="Arial"/>
          <w:sz w:val="24"/>
          <w:lang w:bidi="fr-CA"/>
        </w:rPr>
        <w:t>électricité basé sur les recommandations de la SÉQ est de 0,2520 $ par kWh.</w:t>
      </w:r>
    </w:p>
    <w:p w14:paraId="3F2799A3" w14:textId="20B001D7" w:rsidR="003D56E8" w:rsidRPr="00986EB0" w:rsidRDefault="00AA767F">
      <w:pPr>
        <w:numPr>
          <w:ilvl w:val="2"/>
          <w:numId w:val="4"/>
        </w:numPr>
        <w:pBdr>
          <w:top w:val="nil"/>
          <w:left w:val="nil"/>
          <w:bottom w:val="nil"/>
          <w:right w:val="nil"/>
          <w:between w:val="nil"/>
        </w:pBdr>
        <w:tabs>
          <w:tab w:val="left" w:pos="885"/>
        </w:tabs>
        <w:spacing w:line="360" w:lineRule="auto"/>
        <w:ind w:right="115"/>
        <w:rPr>
          <w:rFonts w:ascii="Arial" w:hAnsi="Arial" w:cs="Arial"/>
          <w:color w:val="000000"/>
          <w:sz w:val="24"/>
          <w:szCs w:val="24"/>
        </w:rPr>
      </w:pPr>
      <w:r w:rsidRPr="00986EB0">
        <w:rPr>
          <w:rFonts w:ascii="Arial" w:eastAsia="Gadugi" w:hAnsi="Arial" w:cs="Arial"/>
          <w:sz w:val="24"/>
          <w:lang w:bidi="fr-CA"/>
        </w:rPr>
        <w:t xml:space="preserve">La SÉQ a clarifié certains aspects de sa demande par ses réponses aux </w:t>
      </w:r>
      <w:r w:rsidRPr="00986EB0">
        <w:rPr>
          <w:rFonts w:ascii="Arial" w:eastAsia="Gadugi" w:hAnsi="Arial" w:cs="Arial"/>
          <w:sz w:val="24"/>
          <w:lang w:bidi="fr-CA"/>
        </w:rPr>
        <w:lastRenderedPageBreak/>
        <w:t>demandes d</w:t>
      </w:r>
      <w:r w:rsidR="00DE3A58" w:rsidRPr="00986EB0">
        <w:rPr>
          <w:rFonts w:ascii="Arial" w:eastAsia="Gadugi" w:hAnsi="Arial" w:cs="Arial"/>
          <w:sz w:val="24"/>
          <w:lang w:bidi="fr-CA"/>
        </w:rPr>
        <w:t>’</w:t>
      </w:r>
      <w:r w:rsidRPr="00986EB0">
        <w:rPr>
          <w:rFonts w:ascii="Arial" w:eastAsia="Gadugi" w:hAnsi="Arial" w:cs="Arial"/>
          <w:sz w:val="24"/>
          <w:lang w:bidi="fr-CA"/>
        </w:rPr>
        <w:t>information (DI) du CETES. Certaines de ces clarifications sont consignées, en partie, dans la section Examen de la demande du présent rapport. Les détails de toutes les réponses aux demandes d</w:t>
      </w:r>
      <w:r w:rsidR="00DE3A58" w:rsidRPr="00986EB0">
        <w:rPr>
          <w:rFonts w:ascii="Arial" w:eastAsia="Gadugi" w:hAnsi="Arial" w:cs="Arial"/>
          <w:sz w:val="24"/>
          <w:lang w:bidi="fr-CA"/>
        </w:rPr>
        <w:t>’</w:t>
      </w:r>
      <w:r w:rsidRPr="00986EB0">
        <w:rPr>
          <w:rFonts w:ascii="Arial" w:eastAsia="Gadugi" w:hAnsi="Arial" w:cs="Arial"/>
          <w:sz w:val="24"/>
          <w:lang w:bidi="fr-CA"/>
        </w:rPr>
        <w:t>information de la SÉQ ne figurent pas dans le présent rapport.</w:t>
      </w:r>
    </w:p>
    <w:p w14:paraId="6D3DD7EE" w14:textId="77777777" w:rsidR="003D56E8" w:rsidRPr="00986EB0" w:rsidRDefault="003D56E8">
      <w:pPr>
        <w:pBdr>
          <w:top w:val="nil"/>
          <w:left w:val="nil"/>
          <w:bottom w:val="nil"/>
          <w:right w:val="nil"/>
          <w:between w:val="nil"/>
        </w:pBdr>
        <w:tabs>
          <w:tab w:val="left" w:pos="885"/>
        </w:tabs>
        <w:spacing w:line="360" w:lineRule="auto"/>
        <w:ind w:left="884" w:right="115"/>
        <w:rPr>
          <w:rFonts w:ascii="Arial" w:hAnsi="Arial" w:cs="Arial"/>
          <w:color w:val="000000"/>
          <w:sz w:val="24"/>
          <w:szCs w:val="24"/>
        </w:rPr>
      </w:pPr>
    </w:p>
    <w:p w14:paraId="7891BDDE" w14:textId="77777777" w:rsidR="003D56E8" w:rsidRPr="00986EB0" w:rsidRDefault="003D56E8">
      <w:pPr>
        <w:pBdr>
          <w:top w:val="nil"/>
          <w:left w:val="nil"/>
          <w:bottom w:val="nil"/>
          <w:right w:val="nil"/>
          <w:between w:val="nil"/>
        </w:pBdr>
        <w:tabs>
          <w:tab w:val="left" w:pos="885"/>
        </w:tabs>
        <w:spacing w:line="360" w:lineRule="auto"/>
        <w:ind w:right="115"/>
        <w:rPr>
          <w:rFonts w:ascii="Arial" w:hAnsi="Arial" w:cs="Arial"/>
          <w:color w:val="000000"/>
          <w:sz w:val="24"/>
          <w:szCs w:val="24"/>
        </w:rPr>
      </w:pPr>
    </w:p>
    <w:p w14:paraId="0A2DE9F5" w14:textId="77777777" w:rsidR="003D56E8" w:rsidRPr="00986EB0" w:rsidRDefault="003D56E8">
      <w:pPr>
        <w:pBdr>
          <w:top w:val="nil"/>
          <w:left w:val="nil"/>
          <w:bottom w:val="nil"/>
          <w:right w:val="nil"/>
          <w:between w:val="nil"/>
        </w:pBdr>
        <w:tabs>
          <w:tab w:val="left" w:pos="885"/>
        </w:tabs>
        <w:spacing w:line="360" w:lineRule="auto"/>
        <w:ind w:right="115"/>
        <w:rPr>
          <w:rFonts w:ascii="Arial" w:hAnsi="Arial" w:cs="Arial"/>
          <w:color w:val="000000"/>
          <w:sz w:val="24"/>
          <w:szCs w:val="24"/>
        </w:rPr>
      </w:pPr>
    </w:p>
    <w:p w14:paraId="1E751CAB" w14:textId="77777777" w:rsidR="003D56E8" w:rsidRPr="00986EB0" w:rsidRDefault="003D56E8">
      <w:pPr>
        <w:pBdr>
          <w:top w:val="nil"/>
          <w:left w:val="nil"/>
          <w:bottom w:val="nil"/>
          <w:right w:val="nil"/>
          <w:between w:val="nil"/>
        </w:pBdr>
        <w:tabs>
          <w:tab w:val="left" w:pos="885"/>
        </w:tabs>
        <w:spacing w:line="360" w:lineRule="auto"/>
        <w:ind w:right="115"/>
        <w:rPr>
          <w:rFonts w:ascii="Arial" w:hAnsi="Arial" w:cs="Arial"/>
          <w:color w:val="000000"/>
          <w:sz w:val="24"/>
          <w:szCs w:val="24"/>
        </w:rPr>
        <w:sectPr w:rsidR="003D56E8" w:rsidRPr="00986EB0">
          <w:pgSz w:w="12240" w:h="15840"/>
          <w:pgMar w:top="1411" w:right="1310" w:bottom="1138" w:left="1310" w:header="720" w:footer="720" w:gutter="0"/>
          <w:cols w:space="720" w:equalWidth="0">
            <w:col w:w="9360"/>
          </w:cols>
        </w:sectPr>
      </w:pPr>
    </w:p>
    <w:p w14:paraId="177FFAED" w14:textId="23CA2021" w:rsidR="00F76E84" w:rsidRPr="00986EB0" w:rsidRDefault="00F76E84" w:rsidP="00F76E84">
      <w:pPr>
        <w:rPr>
          <w:rFonts w:ascii="Arial" w:hAnsi="Arial" w:cs="Arial"/>
        </w:rPr>
      </w:pPr>
      <w:bookmarkStart w:id="7" w:name="bookmark=id.3dy6vkm" w:colFirst="0" w:colLast="0"/>
      <w:bookmarkStart w:id="8" w:name="_heading=h.1t3h5sf" w:colFirst="0" w:colLast="0"/>
      <w:bookmarkEnd w:id="7"/>
      <w:bookmarkEnd w:id="8"/>
    </w:p>
    <w:p w14:paraId="1C3F5726" w14:textId="77777777" w:rsidR="00F76E84" w:rsidRPr="00986EB0" w:rsidRDefault="00F76E84" w:rsidP="00F76E84">
      <w:pPr>
        <w:rPr>
          <w:rFonts w:ascii="Arial" w:hAnsi="Arial" w:cs="Arial"/>
        </w:rPr>
      </w:pPr>
    </w:p>
    <w:p w14:paraId="0DD99C99" w14:textId="315EA8D7" w:rsidR="003D56E8" w:rsidRPr="00986EB0" w:rsidRDefault="00AA767F" w:rsidP="00851F8B">
      <w:pPr>
        <w:pStyle w:val="URRCHeading1"/>
        <w:rPr>
          <w:rFonts w:ascii="Arial" w:hAnsi="Arial" w:cs="Arial"/>
        </w:rPr>
      </w:pPr>
      <w:r w:rsidRPr="00986EB0">
        <w:rPr>
          <w:rFonts w:ascii="Arial" w:eastAsia="Gadugi" w:hAnsi="Arial" w:cs="Arial"/>
          <w:lang w:bidi="fr-CA"/>
        </w:rPr>
        <w:t>PROCESSUS</w:t>
      </w:r>
    </w:p>
    <w:p w14:paraId="70595034" w14:textId="77777777" w:rsidR="003D56E8" w:rsidRPr="00986EB0" w:rsidRDefault="003D56E8">
      <w:pPr>
        <w:pBdr>
          <w:top w:val="nil"/>
          <w:left w:val="nil"/>
          <w:bottom w:val="nil"/>
          <w:right w:val="nil"/>
          <w:between w:val="nil"/>
        </w:pBdr>
        <w:spacing w:before="10"/>
        <w:rPr>
          <w:rFonts w:ascii="Arial" w:hAnsi="Arial" w:cs="Arial"/>
          <w:b/>
          <w:color w:val="000000"/>
          <w:sz w:val="24"/>
          <w:szCs w:val="24"/>
        </w:rPr>
      </w:pPr>
    </w:p>
    <w:p w14:paraId="2D66C4B1" w14:textId="77777777" w:rsidR="003D56E8" w:rsidRPr="00986EB0" w:rsidRDefault="00AA767F" w:rsidP="00851F8B">
      <w:pPr>
        <w:pStyle w:val="URRCHeading2"/>
        <w:rPr>
          <w:rFonts w:ascii="Arial" w:hAnsi="Arial" w:cs="Arial"/>
        </w:rPr>
      </w:pPr>
      <w:bookmarkStart w:id="9" w:name="bookmark=id.4d34og8" w:colFirst="0" w:colLast="0"/>
      <w:bookmarkStart w:id="10" w:name="_heading=h.2s8eyo1" w:colFirst="0" w:colLast="0"/>
      <w:bookmarkEnd w:id="9"/>
      <w:bookmarkEnd w:id="10"/>
      <w:r w:rsidRPr="00986EB0">
        <w:rPr>
          <w:rFonts w:ascii="Arial" w:eastAsia="Gadugi" w:hAnsi="Arial" w:cs="Arial"/>
          <w:lang w:bidi="fr-CA"/>
        </w:rPr>
        <w:t>DEMANDE DE GRANDE IMPORTANCE OU DE MOINDRE IMPORTANCE</w:t>
      </w:r>
    </w:p>
    <w:p w14:paraId="5A94800F" w14:textId="77777777" w:rsidR="003D56E8" w:rsidRPr="00986EB0" w:rsidRDefault="003D56E8">
      <w:pPr>
        <w:pBdr>
          <w:top w:val="nil"/>
          <w:left w:val="nil"/>
          <w:bottom w:val="nil"/>
          <w:right w:val="nil"/>
          <w:between w:val="nil"/>
        </w:pBdr>
        <w:spacing w:before="10"/>
        <w:rPr>
          <w:rFonts w:ascii="Arial" w:hAnsi="Arial" w:cs="Arial"/>
          <w:color w:val="000000"/>
          <w:sz w:val="24"/>
          <w:szCs w:val="24"/>
        </w:rPr>
      </w:pPr>
    </w:p>
    <w:p w14:paraId="0E019D6A" w14:textId="2D7D9414"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lang w:bidi="fr-CA"/>
        </w:rPr>
        <w:t>En vertu de la Loi sur le CETES, il est stipulé qu</w:t>
      </w:r>
      <w:r w:rsidR="00DE3A58" w:rsidRPr="00986EB0">
        <w:rPr>
          <w:rFonts w:ascii="Arial" w:eastAsia="Gadugi" w:hAnsi="Arial" w:cs="Arial"/>
          <w:lang w:bidi="fr-CA"/>
        </w:rPr>
        <w:t>’</w:t>
      </w:r>
      <w:r w:rsidRPr="00986EB0">
        <w:rPr>
          <w:rFonts w:ascii="Arial" w:eastAsia="Gadugi" w:hAnsi="Arial" w:cs="Arial"/>
          <w:lang w:bidi="fr-CA"/>
        </w:rPr>
        <w:t>à sa seule discrétion, le CETES doit déterminer si une demande est de moindre importance ou de grande importance afin de déterminer le temps nécessaire au traitement de la demande; une demande de moindre importance requérant un délai de 90 jours pour que le CETES fasse rapport au ministre responsable, alors qu</w:t>
      </w:r>
      <w:r w:rsidR="00DE3A58" w:rsidRPr="00986EB0">
        <w:rPr>
          <w:rFonts w:ascii="Arial" w:eastAsia="Gadugi" w:hAnsi="Arial" w:cs="Arial"/>
          <w:lang w:bidi="fr-CA"/>
        </w:rPr>
        <w:t>’</w:t>
      </w:r>
      <w:r w:rsidRPr="00986EB0">
        <w:rPr>
          <w:rFonts w:ascii="Arial" w:eastAsia="Gadugi" w:hAnsi="Arial" w:cs="Arial"/>
          <w:lang w:bidi="fr-CA"/>
        </w:rPr>
        <w:t>une demande de grande importance nécessite un délai de 150 jours.</w:t>
      </w:r>
      <w:r w:rsidRPr="00986EB0">
        <w:rPr>
          <w:rFonts w:ascii="Arial" w:eastAsia="Gadugi" w:hAnsi="Arial" w:cs="Arial"/>
          <w:sz w:val="24"/>
          <w:lang w:bidi="fr-CA"/>
        </w:rPr>
        <w:t xml:space="preserve"> Compte tenu des répercussions potentielles sur les co</w:t>
      </w:r>
      <w:r w:rsidR="00DE3A58" w:rsidRPr="00986EB0">
        <w:rPr>
          <w:rFonts w:ascii="Arial" w:eastAsia="Gadugi" w:hAnsi="Arial" w:cs="Arial"/>
          <w:sz w:val="24"/>
          <w:lang w:bidi="fr-CA"/>
        </w:rPr>
        <w:t>u</w:t>
      </w:r>
      <w:r w:rsidRPr="00986EB0">
        <w:rPr>
          <w:rFonts w:ascii="Arial" w:eastAsia="Gadugi" w:hAnsi="Arial" w:cs="Arial"/>
          <w:sz w:val="24"/>
          <w:lang w:bidi="fr-CA"/>
        </w:rPr>
        <w:t>ts pour les clients et la fiabilité du service, de la durée proposée de 25 ans pour les AAÉ et de la nécessité déclarée d</w:t>
      </w:r>
      <w:r w:rsidR="00DE3A58" w:rsidRPr="00986EB0">
        <w:rPr>
          <w:rFonts w:ascii="Arial" w:eastAsia="Gadugi" w:hAnsi="Arial" w:cs="Arial"/>
          <w:sz w:val="24"/>
          <w:lang w:bidi="fr-CA"/>
        </w:rPr>
        <w:t>’</w:t>
      </w:r>
      <w:r w:rsidRPr="00986EB0">
        <w:rPr>
          <w:rFonts w:ascii="Arial" w:eastAsia="Gadugi" w:hAnsi="Arial" w:cs="Arial"/>
          <w:sz w:val="24"/>
          <w:lang w:bidi="fr-CA"/>
        </w:rPr>
        <w:t>intégrer des systèmes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au réseau de la SÉQ afin d</w:t>
      </w:r>
      <w:r w:rsidR="00DE3A58" w:rsidRPr="00986EB0">
        <w:rPr>
          <w:rFonts w:ascii="Arial" w:eastAsia="Gadugi" w:hAnsi="Arial" w:cs="Arial"/>
          <w:sz w:val="24"/>
          <w:lang w:bidi="fr-CA"/>
        </w:rPr>
        <w:t>’</w:t>
      </w:r>
      <w:r w:rsidRPr="00986EB0">
        <w:rPr>
          <w:rFonts w:ascii="Arial" w:eastAsia="Gadugi" w:hAnsi="Arial" w:cs="Arial"/>
          <w:sz w:val="24"/>
          <w:lang w:bidi="fr-CA"/>
        </w:rPr>
        <w:t>aider à réduire la dépendance du Nunavut à l</w:t>
      </w:r>
      <w:r w:rsidR="00DE3A58" w:rsidRPr="00986EB0">
        <w:rPr>
          <w:rFonts w:ascii="Arial" w:eastAsia="Gadugi" w:hAnsi="Arial" w:cs="Arial"/>
          <w:sz w:val="24"/>
          <w:lang w:bidi="fr-CA"/>
        </w:rPr>
        <w:t>’</w:t>
      </w:r>
      <w:r w:rsidRPr="00986EB0">
        <w:rPr>
          <w:rFonts w:ascii="Arial" w:eastAsia="Gadugi" w:hAnsi="Arial" w:cs="Arial"/>
          <w:sz w:val="24"/>
          <w:lang w:bidi="fr-CA"/>
        </w:rPr>
        <w:t>égard du carburant di</w:t>
      </w:r>
      <w:r w:rsidR="00DE3A58" w:rsidRPr="00986EB0">
        <w:rPr>
          <w:rFonts w:ascii="Arial" w:eastAsia="Gadugi" w:hAnsi="Arial" w:cs="Arial"/>
          <w:sz w:val="24"/>
          <w:lang w:bidi="fr-CA"/>
        </w:rPr>
        <w:t>é</w:t>
      </w:r>
      <w:r w:rsidRPr="00986EB0">
        <w:rPr>
          <w:rFonts w:ascii="Arial" w:eastAsia="Gadugi" w:hAnsi="Arial" w:cs="Arial"/>
          <w:sz w:val="24"/>
          <w:lang w:bidi="fr-CA"/>
        </w:rPr>
        <w:t>sel, de réduire les émissions de carbone et de promouvoir l</w:t>
      </w:r>
      <w:r w:rsidR="00DE3A58" w:rsidRPr="00986EB0">
        <w:rPr>
          <w:rFonts w:ascii="Arial" w:eastAsia="Gadugi" w:hAnsi="Arial" w:cs="Arial"/>
          <w:sz w:val="24"/>
          <w:lang w:bidi="fr-CA"/>
        </w:rPr>
        <w:t>’</w:t>
      </w:r>
      <w:r w:rsidRPr="00986EB0">
        <w:rPr>
          <w:rFonts w:ascii="Arial" w:eastAsia="Gadugi" w:hAnsi="Arial" w:cs="Arial"/>
          <w:sz w:val="24"/>
          <w:lang w:bidi="fr-CA"/>
        </w:rPr>
        <w:t>autonomie énergétique, tel que décrits dans la demande en question, et compte tenu de la nécessité d</w:t>
      </w:r>
      <w:r w:rsidR="00DE3A58" w:rsidRPr="00986EB0">
        <w:rPr>
          <w:rFonts w:ascii="Arial" w:eastAsia="Gadugi" w:hAnsi="Arial" w:cs="Arial"/>
          <w:sz w:val="24"/>
          <w:lang w:bidi="fr-CA"/>
        </w:rPr>
        <w:t>’</w:t>
      </w:r>
      <w:r w:rsidRPr="00986EB0">
        <w:rPr>
          <w:rFonts w:ascii="Arial" w:eastAsia="Gadugi" w:hAnsi="Arial" w:cs="Arial"/>
          <w:sz w:val="24"/>
          <w:lang w:bidi="fr-CA"/>
        </w:rPr>
        <w:t>obtenir des DI et des réponses, ainsi que des observations du public, le CETES a décidé de traiter la demande comme une demande de grande importance.</w:t>
      </w:r>
    </w:p>
    <w:p w14:paraId="6F009670" w14:textId="77777777" w:rsidR="003D56E8" w:rsidRPr="00986EB0" w:rsidRDefault="003D56E8">
      <w:pPr>
        <w:pBdr>
          <w:top w:val="nil"/>
          <w:left w:val="nil"/>
          <w:bottom w:val="nil"/>
          <w:right w:val="nil"/>
          <w:between w:val="nil"/>
        </w:pBdr>
        <w:rPr>
          <w:rFonts w:ascii="Arial" w:hAnsi="Arial" w:cs="Arial"/>
          <w:color w:val="000000"/>
          <w:sz w:val="26"/>
          <w:szCs w:val="26"/>
        </w:rPr>
      </w:pPr>
    </w:p>
    <w:p w14:paraId="615A4532" w14:textId="77777777" w:rsidR="003D56E8" w:rsidRPr="00986EB0" w:rsidRDefault="00AA767F" w:rsidP="00FD4CC3">
      <w:pPr>
        <w:pStyle w:val="URRCHeading2"/>
        <w:rPr>
          <w:rFonts w:ascii="Arial" w:hAnsi="Arial" w:cs="Arial"/>
        </w:rPr>
      </w:pPr>
      <w:bookmarkStart w:id="11" w:name="bookmark=id.17dp8vu" w:colFirst="0" w:colLast="0"/>
      <w:bookmarkStart w:id="12" w:name="_heading=h.3rdcrjn" w:colFirst="0" w:colLast="0"/>
      <w:bookmarkEnd w:id="11"/>
      <w:bookmarkEnd w:id="12"/>
      <w:r w:rsidRPr="00986EB0">
        <w:rPr>
          <w:rFonts w:ascii="Arial" w:eastAsia="Gadugi" w:hAnsi="Arial" w:cs="Arial"/>
          <w:lang w:bidi="fr-CA"/>
        </w:rPr>
        <w:t>PROCESSUS DE CONSULTATION PUBLIQUE</w:t>
      </w:r>
    </w:p>
    <w:p w14:paraId="5F1D7F68" w14:textId="77777777" w:rsidR="003D56E8" w:rsidRPr="00986EB0" w:rsidRDefault="003D56E8">
      <w:pPr>
        <w:pBdr>
          <w:top w:val="nil"/>
          <w:left w:val="nil"/>
          <w:bottom w:val="nil"/>
          <w:right w:val="nil"/>
          <w:between w:val="nil"/>
        </w:pBdr>
        <w:rPr>
          <w:rFonts w:ascii="Arial" w:hAnsi="Arial" w:cs="Arial"/>
          <w:color w:val="000000"/>
          <w:sz w:val="24"/>
          <w:szCs w:val="24"/>
        </w:rPr>
      </w:pPr>
    </w:p>
    <w:p w14:paraId="09AD965F" w14:textId="3561522E" w:rsidR="003D56E8" w:rsidRPr="00986EB0" w:rsidRDefault="00AA767F">
      <w:pPr>
        <w:numPr>
          <w:ilvl w:val="2"/>
          <w:numId w:val="4"/>
        </w:numPr>
        <w:pBdr>
          <w:top w:val="nil"/>
          <w:left w:val="nil"/>
          <w:bottom w:val="nil"/>
          <w:right w:val="nil"/>
          <w:between w:val="nil"/>
        </w:pBdr>
        <w:tabs>
          <w:tab w:val="left" w:pos="885"/>
        </w:tabs>
        <w:spacing w:before="9" w:line="360" w:lineRule="auto"/>
        <w:ind w:right="118"/>
        <w:jc w:val="both"/>
        <w:rPr>
          <w:rFonts w:ascii="Arial" w:hAnsi="Arial" w:cs="Arial"/>
          <w:color w:val="000000"/>
          <w:sz w:val="24"/>
          <w:szCs w:val="24"/>
        </w:rPr>
      </w:pPr>
      <w:r w:rsidRPr="00986EB0">
        <w:rPr>
          <w:rFonts w:ascii="Arial" w:eastAsia="Gadugi" w:hAnsi="Arial" w:cs="Arial"/>
          <w:sz w:val="24"/>
          <w:lang w:bidi="fr-CA"/>
        </w:rPr>
        <w:t>Le CETES a élaboré un processus pour étayer son examen de la demande, y compris la possibilité d</w:t>
      </w:r>
      <w:r w:rsidR="00DE3A58" w:rsidRPr="00986EB0">
        <w:rPr>
          <w:rFonts w:ascii="Arial" w:eastAsia="Gadugi" w:hAnsi="Arial" w:cs="Arial"/>
          <w:sz w:val="24"/>
          <w:lang w:bidi="fr-CA"/>
        </w:rPr>
        <w:t>’</w:t>
      </w:r>
      <w:r w:rsidRPr="00986EB0">
        <w:rPr>
          <w:rFonts w:ascii="Arial" w:eastAsia="Gadugi" w:hAnsi="Arial" w:cs="Arial"/>
          <w:sz w:val="24"/>
          <w:lang w:bidi="fr-CA"/>
        </w:rPr>
        <w:t>envoyer trois séries de DI à la SÉQ (si nécessaire), des soumissions écrites du public (c</w:t>
      </w:r>
      <w:r w:rsidR="00DE3A58" w:rsidRPr="00986EB0">
        <w:rPr>
          <w:rFonts w:ascii="Arial" w:eastAsia="Gadugi" w:hAnsi="Arial" w:cs="Arial"/>
          <w:sz w:val="24"/>
          <w:lang w:bidi="fr-CA"/>
        </w:rPr>
        <w:t>’</w:t>
      </w:r>
      <w:r w:rsidRPr="00986EB0">
        <w:rPr>
          <w:rFonts w:ascii="Arial" w:eastAsia="Gadugi" w:hAnsi="Arial" w:cs="Arial"/>
          <w:sz w:val="24"/>
          <w:lang w:bidi="fr-CA"/>
        </w:rPr>
        <w:t>est-à-dire des clients et d</w:t>
      </w:r>
      <w:r w:rsidR="00DE3A58" w:rsidRPr="00986EB0">
        <w:rPr>
          <w:rFonts w:ascii="Arial" w:eastAsia="Gadugi" w:hAnsi="Arial" w:cs="Arial"/>
          <w:sz w:val="24"/>
          <w:lang w:bidi="fr-CA"/>
        </w:rPr>
        <w:t>’</w:t>
      </w:r>
      <w:r w:rsidRPr="00986EB0">
        <w:rPr>
          <w:rFonts w:ascii="Arial" w:eastAsia="Gadugi" w:hAnsi="Arial" w:cs="Arial"/>
          <w:sz w:val="24"/>
          <w:lang w:bidi="fr-CA"/>
        </w:rPr>
        <w:t>autres parties intéressées), des DI concernant les soumissions du public (le cas échéant), ainsi que la possibilité pour la SÉQ de répondre aux soumissions du public. Le CETES a transmis un avis de demande par courriel, ainsi que dans les médias sociaux, par l</w:t>
      </w:r>
      <w:r w:rsidR="00DE3A58" w:rsidRPr="00986EB0">
        <w:rPr>
          <w:rFonts w:ascii="Arial" w:eastAsia="Gadugi" w:hAnsi="Arial" w:cs="Arial"/>
          <w:sz w:val="24"/>
          <w:lang w:bidi="fr-CA"/>
        </w:rPr>
        <w:t>’</w:t>
      </w:r>
      <w:r w:rsidRPr="00986EB0">
        <w:rPr>
          <w:rFonts w:ascii="Arial" w:eastAsia="Gadugi" w:hAnsi="Arial" w:cs="Arial"/>
          <w:sz w:val="24"/>
          <w:lang w:bidi="fr-CA"/>
        </w:rPr>
        <w:t>intermédiaire des agents de liaison du gouvernement (ALG) de chaque collectivité, et par lettre à chaque député de l</w:t>
      </w:r>
      <w:r w:rsidR="00DE3A58" w:rsidRPr="00986EB0">
        <w:rPr>
          <w:rFonts w:ascii="Arial" w:eastAsia="Gadugi" w:hAnsi="Arial" w:cs="Arial"/>
          <w:sz w:val="24"/>
          <w:lang w:bidi="fr-CA"/>
        </w:rPr>
        <w:t>’</w:t>
      </w:r>
      <w:r w:rsidRPr="00986EB0">
        <w:rPr>
          <w:rFonts w:ascii="Arial" w:eastAsia="Gadugi" w:hAnsi="Arial" w:cs="Arial"/>
          <w:sz w:val="24"/>
          <w:lang w:bidi="fr-CA"/>
        </w:rPr>
        <w:t>Assemblée législative du Nunavut (MAL), à tous les maires et aux agents d</w:t>
      </w:r>
      <w:r w:rsidR="00DE3A58" w:rsidRPr="00986EB0">
        <w:rPr>
          <w:rFonts w:ascii="Arial" w:eastAsia="Gadugi" w:hAnsi="Arial" w:cs="Arial"/>
          <w:sz w:val="24"/>
          <w:lang w:bidi="fr-CA"/>
        </w:rPr>
        <w:t>’</w:t>
      </w:r>
      <w:r w:rsidRPr="00986EB0">
        <w:rPr>
          <w:rFonts w:ascii="Arial" w:eastAsia="Gadugi" w:hAnsi="Arial" w:cs="Arial"/>
          <w:sz w:val="24"/>
          <w:lang w:bidi="fr-CA"/>
        </w:rPr>
        <w:t>administration principaux (APA) et APA adjoints du Nunavut.</w:t>
      </w:r>
    </w:p>
    <w:p w14:paraId="1DBDBD40" w14:textId="77777777" w:rsidR="00F512C9" w:rsidRPr="00986EB0" w:rsidRDefault="00AA767F" w:rsidP="00B41274">
      <w:pPr>
        <w:keepNext/>
        <w:keepLines/>
        <w:widowControl/>
        <w:numPr>
          <w:ilvl w:val="2"/>
          <w:numId w:val="4"/>
        </w:numPr>
        <w:pBdr>
          <w:top w:val="nil"/>
          <w:left w:val="nil"/>
          <w:bottom w:val="nil"/>
          <w:right w:val="nil"/>
          <w:between w:val="nil"/>
        </w:pBdr>
        <w:tabs>
          <w:tab w:val="left" w:pos="885"/>
        </w:tabs>
        <w:spacing w:before="1" w:line="360" w:lineRule="auto"/>
        <w:ind w:right="116"/>
        <w:jc w:val="both"/>
        <w:rPr>
          <w:rFonts w:ascii="Arial" w:hAnsi="Arial" w:cs="Arial"/>
          <w:color w:val="000000"/>
          <w:sz w:val="24"/>
          <w:szCs w:val="24"/>
        </w:rPr>
      </w:pPr>
      <w:r w:rsidRPr="00986EB0">
        <w:rPr>
          <w:rFonts w:ascii="Arial" w:eastAsia="Gadugi" w:hAnsi="Arial" w:cs="Arial"/>
          <w:sz w:val="24"/>
          <w:lang w:bidi="fr-CA"/>
        </w:rPr>
        <w:lastRenderedPageBreak/>
        <w:t xml:space="preserve">Le CETES a donné au public la possibilité de présenter des soumissions écrites concernant la demande avant la date limite du 15 juillet 2020. Des soumissions écrites ont été reçues des parties intéressées suivantes à cette date : </w:t>
      </w:r>
    </w:p>
    <w:p w14:paraId="33D10BF5" w14:textId="77777777" w:rsidR="00F512C9" w:rsidRPr="00986EB0" w:rsidRDefault="00F512C9" w:rsidP="00B41274">
      <w:pPr>
        <w:pStyle w:val="Paragraphedeliste"/>
        <w:keepNext/>
        <w:keepLines/>
        <w:widowControl/>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r w:rsidRPr="00986EB0">
        <w:rPr>
          <w:rFonts w:ascii="Arial" w:eastAsia="Gadugi" w:hAnsi="Arial" w:cs="Arial"/>
          <w:sz w:val="24"/>
          <w:lang w:bidi="fr-CA"/>
        </w:rPr>
        <w:t xml:space="preserve">Adam </w:t>
      </w:r>
      <w:proofErr w:type="spellStart"/>
      <w:r w:rsidRPr="00986EB0">
        <w:rPr>
          <w:rFonts w:ascii="Arial" w:eastAsia="Gadugi" w:hAnsi="Arial" w:cs="Arial"/>
          <w:sz w:val="24"/>
          <w:lang w:bidi="fr-CA"/>
        </w:rPr>
        <w:t>Arreak</w:t>
      </w:r>
      <w:proofErr w:type="spellEnd"/>
      <w:r w:rsidRPr="00986EB0">
        <w:rPr>
          <w:rFonts w:ascii="Arial" w:eastAsia="Gadugi" w:hAnsi="Arial" w:cs="Arial"/>
          <w:sz w:val="24"/>
          <w:lang w:bidi="fr-CA"/>
        </w:rPr>
        <w:t xml:space="preserve"> </w:t>
      </w:r>
      <w:proofErr w:type="spellStart"/>
      <w:r w:rsidRPr="00986EB0">
        <w:rPr>
          <w:rFonts w:ascii="Arial" w:eastAsia="Gadugi" w:hAnsi="Arial" w:cs="Arial"/>
          <w:sz w:val="24"/>
          <w:lang w:bidi="fr-CA"/>
        </w:rPr>
        <w:t>Lightstone</w:t>
      </w:r>
      <w:proofErr w:type="spellEnd"/>
      <w:r w:rsidRPr="00986EB0">
        <w:rPr>
          <w:rFonts w:ascii="Arial" w:eastAsia="Gadugi" w:hAnsi="Arial" w:cs="Arial"/>
          <w:sz w:val="24"/>
          <w:lang w:bidi="fr-CA"/>
        </w:rPr>
        <w:t xml:space="preserve">, député d’Iqaluit — </w:t>
      </w:r>
      <w:proofErr w:type="spellStart"/>
      <w:r w:rsidRPr="00986EB0">
        <w:rPr>
          <w:rFonts w:ascii="Arial" w:eastAsia="Gadugi" w:hAnsi="Arial" w:cs="Arial"/>
          <w:sz w:val="24"/>
          <w:lang w:bidi="fr-CA"/>
        </w:rPr>
        <w:t>Manirajak</w:t>
      </w:r>
      <w:proofErr w:type="spellEnd"/>
    </w:p>
    <w:p w14:paraId="75C48786" w14:textId="77777777" w:rsidR="00F512C9" w:rsidRPr="00986EB0" w:rsidRDefault="00F512C9" w:rsidP="00382FA2">
      <w:pPr>
        <w:pStyle w:val="Paragraphedeliste"/>
        <w:widowControl/>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r w:rsidRPr="00986EB0">
        <w:rPr>
          <w:rFonts w:ascii="Arial" w:eastAsia="Gadugi" w:hAnsi="Arial" w:cs="Arial"/>
          <w:sz w:val="24"/>
          <w:lang w:bidi="fr-CA"/>
        </w:rPr>
        <w:t>John Main, député d’</w:t>
      </w:r>
      <w:proofErr w:type="spellStart"/>
      <w:r w:rsidRPr="00986EB0">
        <w:rPr>
          <w:rFonts w:ascii="Arial" w:eastAsia="Gadugi" w:hAnsi="Arial" w:cs="Arial"/>
          <w:sz w:val="24"/>
          <w:lang w:bidi="fr-CA"/>
        </w:rPr>
        <w:t>Arviat</w:t>
      </w:r>
      <w:proofErr w:type="spellEnd"/>
      <w:r w:rsidRPr="00986EB0">
        <w:rPr>
          <w:rFonts w:ascii="Arial" w:eastAsia="Gadugi" w:hAnsi="Arial" w:cs="Arial"/>
          <w:sz w:val="24"/>
          <w:lang w:bidi="fr-CA"/>
        </w:rPr>
        <w:t xml:space="preserve"> Nord — </w:t>
      </w:r>
      <w:proofErr w:type="spellStart"/>
      <w:r w:rsidRPr="00986EB0">
        <w:rPr>
          <w:rFonts w:ascii="Arial" w:eastAsia="Gadugi" w:hAnsi="Arial" w:cs="Arial"/>
          <w:sz w:val="24"/>
          <w:lang w:bidi="fr-CA"/>
        </w:rPr>
        <w:t>Whale</w:t>
      </w:r>
      <w:proofErr w:type="spellEnd"/>
      <w:r w:rsidRPr="00986EB0">
        <w:rPr>
          <w:rFonts w:ascii="Arial" w:eastAsia="Gadugi" w:hAnsi="Arial" w:cs="Arial"/>
          <w:sz w:val="24"/>
          <w:lang w:bidi="fr-CA"/>
        </w:rPr>
        <w:t xml:space="preserve"> Cove</w:t>
      </w:r>
    </w:p>
    <w:p w14:paraId="0F901180" w14:textId="509AB936" w:rsidR="00F512C9" w:rsidRPr="00986EB0" w:rsidRDefault="00F512C9" w:rsidP="00382FA2">
      <w:pPr>
        <w:pStyle w:val="Paragraphedeliste"/>
        <w:widowControl/>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r w:rsidRPr="00986EB0">
        <w:rPr>
          <w:rFonts w:ascii="Arial" w:eastAsia="Gadugi" w:hAnsi="Arial" w:cs="Arial"/>
          <w:sz w:val="24"/>
          <w:lang w:bidi="fr-CA"/>
        </w:rPr>
        <w:t>Secrétariat du changement climatique (SCC) du ministère de l</w:t>
      </w:r>
      <w:r w:rsidR="00DE3A58" w:rsidRPr="00986EB0">
        <w:rPr>
          <w:rFonts w:ascii="Arial" w:eastAsia="Gadugi" w:hAnsi="Arial" w:cs="Arial"/>
          <w:sz w:val="24"/>
          <w:lang w:bidi="fr-CA"/>
        </w:rPr>
        <w:t>’</w:t>
      </w:r>
      <w:r w:rsidRPr="00986EB0">
        <w:rPr>
          <w:rFonts w:ascii="Arial" w:eastAsia="Gadugi" w:hAnsi="Arial" w:cs="Arial"/>
          <w:sz w:val="24"/>
          <w:lang w:bidi="fr-CA"/>
        </w:rPr>
        <w:t>Environnement, ainsi que des commentaires additionnels de la division des Services techniques du ministère des Services communautaires et gouvernementaux (SCG) et du ministère du Développement économique et des Transports (DÉT)</w:t>
      </w:r>
    </w:p>
    <w:p w14:paraId="24FC0BAE" w14:textId="77777777" w:rsidR="00F512C9" w:rsidRPr="00986EB0" w:rsidRDefault="00F512C9" w:rsidP="00B41274">
      <w:pPr>
        <w:pStyle w:val="Paragraphedeliste"/>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lang w:val="en-US"/>
        </w:rPr>
      </w:pPr>
      <w:r w:rsidRPr="00986EB0">
        <w:rPr>
          <w:rFonts w:ascii="Arial" w:eastAsia="Gadugi" w:hAnsi="Arial" w:cs="Arial"/>
          <w:sz w:val="24"/>
          <w:lang w:val="en-US" w:bidi="fr-CA"/>
        </w:rPr>
        <w:t xml:space="preserve">MCW Custom Energy Solutions Ltd. </w:t>
      </w:r>
    </w:p>
    <w:p w14:paraId="7458E42E" w14:textId="77777777" w:rsidR="00F512C9" w:rsidRPr="00986EB0" w:rsidRDefault="00AA767F" w:rsidP="00B41274">
      <w:pPr>
        <w:pStyle w:val="Paragraphedeliste"/>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proofErr w:type="spellStart"/>
      <w:r w:rsidRPr="00986EB0">
        <w:rPr>
          <w:rFonts w:ascii="Arial" w:eastAsia="Gadugi" w:hAnsi="Arial" w:cs="Arial"/>
          <w:sz w:val="24"/>
          <w:lang w:bidi="fr-CA"/>
        </w:rPr>
        <w:t>Nihat</w:t>
      </w:r>
      <w:proofErr w:type="spellEnd"/>
      <w:r w:rsidRPr="00986EB0">
        <w:rPr>
          <w:rFonts w:ascii="Arial" w:eastAsia="Gadugi" w:hAnsi="Arial" w:cs="Arial"/>
          <w:sz w:val="24"/>
          <w:lang w:bidi="fr-CA"/>
        </w:rPr>
        <w:t xml:space="preserve"> Energy Ltd. </w:t>
      </w:r>
    </w:p>
    <w:p w14:paraId="1136ADFA" w14:textId="77777777" w:rsidR="00F512C9" w:rsidRPr="00986EB0" w:rsidRDefault="00F512C9" w:rsidP="00B41274">
      <w:pPr>
        <w:pStyle w:val="Paragraphedeliste"/>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r w:rsidRPr="00986EB0">
        <w:rPr>
          <w:rFonts w:ascii="Arial" w:eastAsia="Gadugi" w:hAnsi="Arial" w:cs="Arial"/>
          <w:sz w:val="24"/>
          <w:lang w:bidi="fr-CA"/>
        </w:rPr>
        <w:t xml:space="preserve">Nunavut </w:t>
      </w:r>
      <w:proofErr w:type="spellStart"/>
      <w:r w:rsidRPr="00986EB0">
        <w:rPr>
          <w:rFonts w:ascii="Arial" w:eastAsia="Gadugi" w:hAnsi="Arial" w:cs="Arial"/>
          <w:sz w:val="24"/>
          <w:lang w:bidi="fr-CA"/>
        </w:rPr>
        <w:t>Nukkiksautiit</w:t>
      </w:r>
      <w:proofErr w:type="spellEnd"/>
      <w:r w:rsidRPr="00986EB0">
        <w:rPr>
          <w:rFonts w:ascii="Arial" w:eastAsia="Gadugi" w:hAnsi="Arial" w:cs="Arial"/>
          <w:sz w:val="24"/>
          <w:lang w:bidi="fr-CA"/>
        </w:rPr>
        <w:t xml:space="preserve"> Corporation</w:t>
      </w:r>
    </w:p>
    <w:p w14:paraId="79BD0DA2" w14:textId="77777777" w:rsidR="00F512C9" w:rsidRPr="00986EB0" w:rsidRDefault="00AA767F" w:rsidP="00B41274">
      <w:pPr>
        <w:pStyle w:val="Paragraphedeliste"/>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r w:rsidRPr="00986EB0">
        <w:rPr>
          <w:rFonts w:ascii="Arial" w:eastAsia="Gadugi" w:hAnsi="Arial" w:cs="Arial"/>
          <w:sz w:val="24"/>
          <w:lang w:bidi="fr-CA"/>
        </w:rPr>
        <w:t xml:space="preserve">Pembina Institute </w:t>
      </w:r>
    </w:p>
    <w:p w14:paraId="64C0FA6F" w14:textId="77777777" w:rsidR="00F512C9" w:rsidRPr="00986EB0" w:rsidRDefault="00AA767F" w:rsidP="00B41274">
      <w:pPr>
        <w:pStyle w:val="Paragraphedeliste"/>
        <w:numPr>
          <w:ilvl w:val="0"/>
          <w:numId w:val="9"/>
        </w:numPr>
        <w:pBdr>
          <w:top w:val="nil"/>
          <w:left w:val="nil"/>
          <w:bottom w:val="nil"/>
          <w:right w:val="nil"/>
          <w:between w:val="nil"/>
        </w:pBdr>
        <w:tabs>
          <w:tab w:val="left" w:pos="885"/>
        </w:tabs>
        <w:spacing w:before="60" w:line="360" w:lineRule="auto"/>
        <w:ind w:left="1598" w:right="115"/>
        <w:rPr>
          <w:rFonts w:ascii="Arial" w:hAnsi="Arial" w:cs="Arial"/>
          <w:color w:val="000000"/>
          <w:sz w:val="24"/>
          <w:szCs w:val="24"/>
        </w:rPr>
      </w:pPr>
      <w:proofErr w:type="spellStart"/>
      <w:r w:rsidRPr="00986EB0">
        <w:rPr>
          <w:rFonts w:ascii="Arial" w:eastAsia="Gadugi" w:hAnsi="Arial" w:cs="Arial"/>
          <w:sz w:val="24"/>
          <w:lang w:bidi="fr-CA"/>
        </w:rPr>
        <w:t>Qikitaaluk</w:t>
      </w:r>
      <w:proofErr w:type="spellEnd"/>
      <w:r w:rsidRPr="00986EB0">
        <w:rPr>
          <w:rFonts w:ascii="Arial" w:eastAsia="Gadugi" w:hAnsi="Arial" w:cs="Arial"/>
          <w:sz w:val="24"/>
          <w:lang w:bidi="fr-CA"/>
        </w:rPr>
        <w:t xml:space="preserve"> Business </w:t>
      </w:r>
      <w:proofErr w:type="spellStart"/>
      <w:r w:rsidRPr="00986EB0">
        <w:rPr>
          <w:rFonts w:ascii="Arial" w:eastAsia="Gadugi" w:hAnsi="Arial" w:cs="Arial"/>
          <w:sz w:val="24"/>
          <w:lang w:bidi="fr-CA"/>
        </w:rPr>
        <w:t>Development</w:t>
      </w:r>
      <w:proofErr w:type="spellEnd"/>
      <w:r w:rsidRPr="00986EB0">
        <w:rPr>
          <w:rFonts w:ascii="Arial" w:eastAsia="Gadugi" w:hAnsi="Arial" w:cs="Arial"/>
          <w:sz w:val="24"/>
          <w:lang w:bidi="fr-CA"/>
        </w:rPr>
        <w:t xml:space="preserve"> Corporation </w:t>
      </w:r>
    </w:p>
    <w:p w14:paraId="5A545475" w14:textId="77777777" w:rsidR="003D56E8" w:rsidRPr="00986EB0" w:rsidRDefault="00F512C9" w:rsidP="00C308E1">
      <w:pPr>
        <w:pStyle w:val="Paragraphedeliste"/>
        <w:numPr>
          <w:ilvl w:val="0"/>
          <w:numId w:val="9"/>
        </w:numPr>
        <w:pBdr>
          <w:top w:val="nil"/>
          <w:left w:val="nil"/>
          <w:bottom w:val="nil"/>
          <w:right w:val="nil"/>
          <w:between w:val="nil"/>
        </w:pBdr>
        <w:tabs>
          <w:tab w:val="left" w:pos="885"/>
        </w:tabs>
        <w:spacing w:before="60"/>
        <w:ind w:left="1598" w:right="115"/>
        <w:rPr>
          <w:rFonts w:ascii="Arial" w:hAnsi="Arial" w:cs="Arial"/>
          <w:color w:val="000000"/>
          <w:sz w:val="24"/>
          <w:szCs w:val="24"/>
        </w:rPr>
      </w:pPr>
      <w:r w:rsidRPr="00986EB0">
        <w:rPr>
          <w:rFonts w:ascii="Arial" w:eastAsia="Gadugi" w:hAnsi="Arial" w:cs="Arial"/>
          <w:sz w:val="24"/>
          <w:lang w:bidi="fr-CA"/>
        </w:rPr>
        <w:t xml:space="preserve">WWF-Canada. </w:t>
      </w:r>
    </w:p>
    <w:p w14:paraId="7038E810" w14:textId="77777777" w:rsidR="003D56E8" w:rsidRPr="00986EB0" w:rsidRDefault="003D56E8">
      <w:pPr>
        <w:pBdr>
          <w:top w:val="nil"/>
          <w:left w:val="nil"/>
          <w:bottom w:val="nil"/>
          <w:right w:val="nil"/>
          <w:between w:val="nil"/>
        </w:pBdr>
        <w:rPr>
          <w:rFonts w:ascii="Arial" w:hAnsi="Arial" w:cs="Arial"/>
          <w:color w:val="000000"/>
          <w:sz w:val="24"/>
          <w:szCs w:val="24"/>
        </w:rPr>
      </w:pPr>
    </w:p>
    <w:p w14:paraId="522BACAA" w14:textId="5307A187" w:rsidR="003D56E8" w:rsidRPr="00986EB0" w:rsidRDefault="00AA767F">
      <w:pPr>
        <w:numPr>
          <w:ilvl w:val="2"/>
          <w:numId w:val="4"/>
        </w:numPr>
        <w:pBdr>
          <w:top w:val="nil"/>
          <w:left w:val="nil"/>
          <w:bottom w:val="nil"/>
          <w:right w:val="nil"/>
          <w:between w:val="nil"/>
        </w:pBdr>
        <w:tabs>
          <w:tab w:val="left" w:pos="885"/>
        </w:tabs>
        <w:spacing w:line="360" w:lineRule="auto"/>
        <w:ind w:right="120"/>
        <w:jc w:val="both"/>
        <w:rPr>
          <w:rFonts w:ascii="Arial" w:hAnsi="Arial" w:cs="Arial"/>
          <w:color w:val="000000"/>
          <w:sz w:val="24"/>
          <w:szCs w:val="24"/>
        </w:rPr>
      </w:pPr>
      <w:r w:rsidRPr="00986EB0">
        <w:rPr>
          <w:rFonts w:ascii="Arial" w:eastAsia="Gadugi" w:hAnsi="Arial" w:cs="Arial"/>
          <w:sz w:val="24"/>
          <w:lang w:bidi="fr-CA"/>
        </w:rPr>
        <w:t>Le CETES n</w:t>
      </w:r>
      <w:r w:rsidR="00DE3A58" w:rsidRPr="00986EB0">
        <w:rPr>
          <w:rFonts w:ascii="Arial" w:eastAsia="Gadugi" w:hAnsi="Arial" w:cs="Arial"/>
          <w:sz w:val="24"/>
          <w:lang w:bidi="fr-CA"/>
        </w:rPr>
        <w:t>’</w:t>
      </w:r>
      <w:r w:rsidRPr="00986EB0">
        <w:rPr>
          <w:rFonts w:ascii="Arial" w:eastAsia="Gadugi" w:hAnsi="Arial" w:cs="Arial"/>
          <w:sz w:val="24"/>
          <w:lang w:bidi="fr-CA"/>
        </w:rPr>
        <w:t>avait pas de questions à poser aux parties intéressées qui ont fait des soumissions publiques, et la SÉQ n</w:t>
      </w:r>
      <w:r w:rsidR="00DE3A58" w:rsidRPr="00986EB0">
        <w:rPr>
          <w:rFonts w:ascii="Arial" w:eastAsia="Gadugi" w:hAnsi="Arial" w:cs="Arial"/>
          <w:sz w:val="24"/>
          <w:lang w:bidi="fr-CA"/>
        </w:rPr>
        <w:t>’</w:t>
      </w:r>
      <w:r w:rsidRPr="00986EB0">
        <w:rPr>
          <w:rFonts w:ascii="Arial" w:eastAsia="Gadugi" w:hAnsi="Arial" w:cs="Arial"/>
          <w:sz w:val="24"/>
          <w:lang w:bidi="fr-CA"/>
        </w:rPr>
        <w:t xml:space="preserve">a pas répondu directement aux soumissions publiques. Cependant, le CETES a inclus des questions générales à la SÉQ dans la troisième série de DI sur certains aspects des soumissions publiques. La SÉQ a fourni des réponses à ces questions. Les réponses reçues à la suite des soumissions publiques ont été utiles au CETES. </w:t>
      </w:r>
    </w:p>
    <w:p w14:paraId="41A48FDA" w14:textId="7044022C" w:rsidR="003D56E8" w:rsidRPr="00986EB0" w:rsidRDefault="00AA767F">
      <w:pPr>
        <w:numPr>
          <w:ilvl w:val="2"/>
          <w:numId w:val="4"/>
        </w:numPr>
        <w:pBdr>
          <w:top w:val="nil"/>
          <w:left w:val="nil"/>
          <w:bottom w:val="nil"/>
          <w:right w:val="nil"/>
          <w:between w:val="nil"/>
        </w:pBdr>
        <w:tabs>
          <w:tab w:val="left" w:pos="885"/>
        </w:tabs>
        <w:spacing w:line="360" w:lineRule="auto"/>
        <w:ind w:right="120"/>
        <w:jc w:val="both"/>
        <w:rPr>
          <w:rFonts w:ascii="Arial" w:hAnsi="Arial" w:cs="Arial"/>
          <w:color w:val="000000"/>
          <w:sz w:val="24"/>
          <w:szCs w:val="24"/>
        </w:rPr>
      </w:pPr>
      <w:r w:rsidRPr="00986EB0">
        <w:rPr>
          <w:rFonts w:ascii="Arial" w:eastAsia="Gadugi" w:hAnsi="Arial" w:cs="Arial"/>
          <w:sz w:val="24"/>
          <w:lang w:bidi="fr-CA"/>
        </w:rPr>
        <w:t>La SÉQ a répondu à trois séries de DI du CETES et les réponses finales ont été reçues le 11 septembre 2020.</w:t>
      </w:r>
    </w:p>
    <w:p w14:paraId="612F87EB" w14:textId="77777777" w:rsidR="003D56E8" w:rsidRPr="00986EB0" w:rsidRDefault="003D56E8">
      <w:pPr>
        <w:spacing w:line="360" w:lineRule="auto"/>
        <w:jc w:val="both"/>
        <w:rPr>
          <w:rFonts w:ascii="Arial" w:hAnsi="Arial" w:cs="Arial"/>
          <w:sz w:val="24"/>
          <w:szCs w:val="24"/>
        </w:rPr>
      </w:pPr>
    </w:p>
    <w:p w14:paraId="56756FC3" w14:textId="77777777" w:rsidR="00BF66CE" w:rsidRPr="00986EB0" w:rsidRDefault="00BF66CE">
      <w:pPr>
        <w:spacing w:line="360" w:lineRule="auto"/>
        <w:jc w:val="both"/>
        <w:rPr>
          <w:rFonts w:ascii="Arial" w:hAnsi="Arial" w:cs="Arial"/>
          <w:sz w:val="24"/>
          <w:szCs w:val="24"/>
        </w:rPr>
        <w:sectPr w:rsidR="00BF66CE" w:rsidRPr="00986EB0">
          <w:pgSz w:w="12240" w:h="15840"/>
          <w:pgMar w:top="1411" w:right="1310" w:bottom="1138" w:left="1310" w:header="720" w:footer="720" w:gutter="0"/>
          <w:cols w:space="720" w:equalWidth="0">
            <w:col w:w="9360"/>
          </w:cols>
        </w:sectPr>
      </w:pPr>
    </w:p>
    <w:p w14:paraId="777E2785" w14:textId="7AF2FA33" w:rsidR="003D56E8" w:rsidRPr="00986EB0" w:rsidRDefault="003D56E8" w:rsidP="00BF66CE">
      <w:pPr>
        <w:jc w:val="both"/>
        <w:rPr>
          <w:rFonts w:ascii="Arial" w:hAnsi="Arial" w:cs="Arial"/>
          <w:sz w:val="24"/>
          <w:szCs w:val="24"/>
        </w:rPr>
      </w:pPr>
    </w:p>
    <w:p w14:paraId="3DBF21C3" w14:textId="77777777" w:rsidR="003D56E8" w:rsidRPr="00986EB0" w:rsidRDefault="00AA767F" w:rsidP="00FD4CC3">
      <w:pPr>
        <w:pStyle w:val="URRCHeading1"/>
        <w:rPr>
          <w:rFonts w:ascii="Arial" w:hAnsi="Arial" w:cs="Arial"/>
        </w:rPr>
      </w:pPr>
      <w:r w:rsidRPr="00986EB0">
        <w:rPr>
          <w:rFonts w:ascii="Arial" w:eastAsia="Gadugi" w:hAnsi="Arial" w:cs="Arial"/>
          <w:lang w:bidi="fr-CA"/>
        </w:rPr>
        <w:t>SOUMISSIONS PUBLIQUES</w:t>
      </w:r>
    </w:p>
    <w:p w14:paraId="687F06D6" w14:textId="77777777" w:rsidR="003D56E8" w:rsidRPr="00986EB0" w:rsidRDefault="003D56E8" w:rsidP="005F58E2">
      <w:pPr>
        <w:jc w:val="both"/>
        <w:rPr>
          <w:rFonts w:ascii="Arial" w:hAnsi="Arial" w:cs="Arial"/>
          <w:sz w:val="24"/>
          <w:szCs w:val="24"/>
        </w:rPr>
      </w:pPr>
    </w:p>
    <w:p w14:paraId="6C362724" w14:textId="4F72EEE1" w:rsidR="003D56E8" w:rsidRPr="00986EB0" w:rsidRDefault="00AA767F">
      <w:pPr>
        <w:numPr>
          <w:ilvl w:val="2"/>
          <w:numId w:val="4"/>
        </w:numPr>
        <w:pBdr>
          <w:top w:val="nil"/>
          <w:left w:val="nil"/>
          <w:bottom w:val="nil"/>
          <w:right w:val="nil"/>
          <w:between w:val="nil"/>
        </w:pBdr>
        <w:tabs>
          <w:tab w:val="left" w:pos="885"/>
        </w:tabs>
        <w:spacing w:line="360" w:lineRule="auto"/>
        <w:ind w:right="120"/>
        <w:jc w:val="both"/>
        <w:rPr>
          <w:rFonts w:ascii="Arial" w:hAnsi="Arial" w:cs="Arial"/>
          <w:color w:val="000000"/>
          <w:sz w:val="24"/>
          <w:szCs w:val="24"/>
        </w:rPr>
      </w:pPr>
      <w:r w:rsidRPr="00986EB0">
        <w:rPr>
          <w:rFonts w:ascii="Arial" w:eastAsia="Gadugi" w:hAnsi="Arial" w:cs="Arial"/>
          <w:sz w:val="24"/>
          <w:lang w:bidi="fr-CA"/>
        </w:rPr>
        <w:t>Le CETES a reçu des soumissions de membres du gouvernement du Nunavut, de ministères du gouvernement du Nunavut, de promoteurs potentiels PÉCI et d</w:t>
      </w:r>
      <w:r w:rsidR="00DE3A58" w:rsidRPr="00986EB0">
        <w:rPr>
          <w:rFonts w:ascii="Arial" w:eastAsia="Gadugi" w:hAnsi="Arial" w:cs="Arial"/>
          <w:sz w:val="24"/>
          <w:lang w:bidi="fr-CA"/>
        </w:rPr>
        <w:t>’</w:t>
      </w:r>
      <w:r w:rsidRPr="00986EB0">
        <w:rPr>
          <w:rFonts w:ascii="Arial" w:eastAsia="Gadugi" w:hAnsi="Arial" w:cs="Arial"/>
          <w:sz w:val="24"/>
          <w:lang w:bidi="fr-CA"/>
        </w:rPr>
        <w:t xml:space="preserve">organisations non gouvernementales. </w:t>
      </w:r>
    </w:p>
    <w:p w14:paraId="74888364" w14:textId="002A51B7" w:rsidR="003D56E8" w:rsidRPr="00986EB0" w:rsidRDefault="00AA767F">
      <w:pPr>
        <w:numPr>
          <w:ilvl w:val="2"/>
          <w:numId w:val="4"/>
        </w:numPr>
        <w:pBdr>
          <w:top w:val="nil"/>
          <w:left w:val="nil"/>
          <w:bottom w:val="nil"/>
          <w:right w:val="nil"/>
          <w:between w:val="nil"/>
        </w:pBdr>
        <w:tabs>
          <w:tab w:val="left" w:pos="885"/>
        </w:tabs>
        <w:spacing w:line="360" w:lineRule="auto"/>
        <w:ind w:right="120"/>
        <w:jc w:val="both"/>
        <w:rPr>
          <w:rFonts w:ascii="Arial" w:hAnsi="Arial" w:cs="Arial"/>
          <w:color w:val="000000"/>
          <w:sz w:val="24"/>
          <w:szCs w:val="24"/>
        </w:rPr>
      </w:pPr>
      <w:r w:rsidRPr="00986EB0">
        <w:rPr>
          <w:rFonts w:ascii="Arial" w:eastAsia="Gadugi" w:hAnsi="Arial" w:cs="Arial"/>
          <w:sz w:val="24"/>
          <w:lang w:bidi="fr-CA"/>
        </w:rPr>
        <w:t>Le CETES n</w:t>
      </w:r>
      <w:r w:rsidR="00DE3A58" w:rsidRPr="00986EB0">
        <w:rPr>
          <w:rFonts w:ascii="Arial" w:eastAsia="Gadugi" w:hAnsi="Arial" w:cs="Arial"/>
          <w:sz w:val="24"/>
          <w:lang w:bidi="fr-CA"/>
        </w:rPr>
        <w:t>’</w:t>
      </w:r>
      <w:r w:rsidRPr="00986EB0">
        <w:rPr>
          <w:rFonts w:ascii="Arial" w:eastAsia="Gadugi" w:hAnsi="Arial" w:cs="Arial"/>
          <w:sz w:val="24"/>
          <w:lang w:bidi="fr-CA"/>
        </w:rPr>
        <w:t>a pas l</w:t>
      </w:r>
      <w:r w:rsidR="00DE3A58" w:rsidRPr="00986EB0">
        <w:rPr>
          <w:rFonts w:ascii="Arial" w:eastAsia="Gadugi" w:hAnsi="Arial" w:cs="Arial"/>
          <w:sz w:val="24"/>
          <w:lang w:bidi="fr-CA"/>
        </w:rPr>
        <w:t>’</w:t>
      </w:r>
      <w:r w:rsidRPr="00986EB0">
        <w:rPr>
          <w:rFonts w:ascii="Arial" w:eastAsia="Gadugi" w:hAnsi="Arial" w:cs="Arial"/>
          <w:sz w:val="24"/>
          <w:lang w:bidi="fr-CA"/>
        </w:rPr>
        <w:t>intention de rapporter l’ensemble des multiples commentaires et rétroactions reçus. Toutefois, le CETES a résumé quelques-unes des rétroactions dans la liste ci-dessous, dont certaines ont été transmises par plus d</w:t>
      </w:r>
      <w:r w:rsidR="00DE3A58" w:rsidRPr="00986EB0">
        <w:rPr>
          <w:rFonts w:ascii="Arial" w:eastAsia="Gadugi" w:hAnsi="Arial" w:cs="Arial"/>
          <w:sz w:val="24"/>
          <w:lang w:bidi="fr-CA"/>
        </w:rPr>
        <w:t>’</w:t>
      </w:r>
      <w:r w:rsidRPr="00986EB0">
        <w:rPr>
          <w:rFonts w:ascii="Arial" w:eastAsia="Gadugi" w:hAnsi="Arial" w:cs="Arial"/>
          <w:sz w:val="24"/>
          <w:lang w:bidi="fr-CA"/>
        </w:rPr>
        <w:t>une partie intéressée. Sans ordre d’importance, les parties intéressées ont soumis les commentaires et rétroactions ci</w:t>
      </w:r>
      <w:r w:rsidRPr="00986EB0">
        <w:rPr>
          <w:rFonts w:ascii="Cambria Math" w:eastAsia="Gadugi" w:hAnsi="Cambria Math" w:cs="Cambria Math"/>
          <w:sz w:val="24"/>
          <w:lang w:bidi="fr-CA"/>
        </w:rPr>
        <w:t>‑</w:t>
      </w:r>
      <w:r w:rsidRPr="00986EB0">
        <w:rPr>
          <w:rFonts w:ascii="Arial" w:eastAsia="Gadugi" w:hAnsi="Arial" w:cs="Arial"/>
          <w:sz w:val="24"/>
          <w:lang w:bidi="fr-CA"/>
        </w:rPr>
        <w:t>après :</w:t>
      </w:r>
    </w:p>
    <w:p w14:paraId="34258226" w14:textId="1F83C131"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Un seul tarif d</w:t>
      </w:r>
      <w:r w:rsidR="00DE3A58" w:rsidRPr="00986EB0">
        <w:rPr>
          <w:rFonts w:ascii="Arial" w:eastAsia="Gadugi" w:hAnsi="Arial" w:cs="Arial"/>
          <w:sz w:val="24"/>
          <w:lang w:bidi="fr-CA"/>
        </w:rPr>
        <w:t>’</w:t>
      </w:r>
      <w:r w:rsidRPr="00986EB0">
        <w:rPr>
          <w:rFonts w:ascii="Arial" w:eastAsia="Gadugi" w:hAnsi="Arial" w:cs="Arial"/>
          <w:sz w:val="24"/>
          <w:lang w:bidi="fr-CA"/>
        </w:rPr>
        <w:t>achat de PÉCI pour toutes les collectivités n</w:t>
      </w:r>
      <w:r w:rsidR="00DE3A58" w:rsidRPr="00986EB0">
        <w:rPr>
          <w:rFonts w:ascii="Arial" w:eastAsia="Gadugi" w:hAnsi="Arial" w:cs="Arial"/>
          <w:sz w:val="24"/>
          <w:lang w:bidi="fr-CA"/>
        </w:rPr>
        <w:t>’</w:t>
      </w:r>
      <w:r w:rsidRPr="00986EB0">
        <w:rPr>
          <w:rFonts w:ascii="Arial" w:eastAsia="Gadugi" w:hAnsi="Arial" w:cs="Arial"/>
          <w:sz w:val="24"/>
          <w:lang w:bidi="fr-CA"/>
        </w:rPr>
        <w:t>est pas intéressant et ne reflète pas les différences de co</w:t>
      </w:r>
      <w:r w:rsidR="00DE3A58" w:rsidRPr="00986EB0">
        <w:rPr>
          <w:rFonts w:ascii="Arial" w:eastAsia="Gadugi" w:hAnsi="Arial" w:cs="Arial"/>
          <w:sz w:val="24"/>
          <w:lang w:bidi="fr-CA"/>
        </w:rPr>
        <w:t>u</w:t>
      </w:r>
      <w:r w:rsidRPr="00986EB0">
        <w:rPr>
          <w:rFonts w:ascii="Arial" w:eastAsia="Gadugi" w:hAnsi="Arial" w:cs="Arial"/>
          <w:sz w:val="24"/>
          <w:lang w:bidi="fr-CA"/>
        </w:rPr>
        <w:t>ts de construction et d</w:t>
      </w:r>
      <w:r w:rsidR="00DE3A58" w:rsidRPr="00986EB0">
        <w:rPr>
          <w:rFonts w:ascii="Arial" w:eastAsia="Gadugi" w:hAnsi="Arial" w:cs="Arial"/>
          <w:sz w:val="24"/>
          <w:lang w:bidi="fr-CA"/>
        </w:rPr>
        <w:t>’</w:t>
      </w:r>
      <w:r w:rsidRPr="00986EB0">
        <w:rPr>
          <w:rFonts w:ascii="Arial" w:eastAsia="Gadugi" w:hAnsi="Arial" w:cs="Arial"/>
          <w:sz w:val="24"/>
          <w:lang w:bidi="fr-CA"/>
        </w:rPr>
        <w:t>exploitation à la grandeur du Nunavut.</w:t>
      </w:r>
    </w:p>
    <w:p w14:paraId="1DFEB829" w14:textId="7B4F32BF" w:rsidR="003D56E8" w:rsidRPr="00986EB0" w:rsidRDefault="00AA767F" w:rsidP="005D40A6">
      <w:pPr>
        <w:numPr>
          <w:ilvl w:val="3"/>
          <w:numId w:val="4"/>
        </w:numPr>
        <w:pBdr>
          <w:top w:val="nil"/>
          <w:left w:val="nil"/>
          <w:bottom w:val="nil"/>
          <w:right w:val="nil"/>
          <w:between w:val="nil"/>
        </w:pBdr>
        <w:tabs>
          <w:tab w:val="left" w:pos="885"/>
        </w:tabs>
        <w:spacing w:before="60" w:line="360" w:lineRule="auto"/>
        <w:ind w:left="1541" w:right="80" w:hanging="274"/>
        <w:jc w:val="both"/>
        <w:rPr>
          <w:rFonts w:ascii="Arial" w:hAnsi="Arial" w:cs="Arial"/>
          <w:color w:val="000000"/>
          <w:sz w:val="24"/>
          <w:szCs w:val="24"/>
        </w:rPr>
      </w:pPr>
      <w:r w:rsidRPr="00986EB0">
        <w:rPr>
          <w:rFonts w:ascii="Arial" w:eastAsia="Gadugi" w:hAnsi="Arial" w:cs="Arial"/>
          <w:sz w:val="24"/>
          <w:lang w:bidi="fr-CA"/>
        </w:rPr>
        <w:t>Le prix d</w:t>
      </w:r>
      <w:r w:rsidR="00DE3A58" w:rsidRPr="00986EB0">
        <w:rPr>
          <w:rFonts w:ascii="Arial" w:eastAsia="Gadugi" w:hAnsi="Arial" w:cs="Arial"/>
          <w:sz w:val="24"/>
          <w:lang w:bidi="fr-CA"/>
        </w:rPr>
        <w:t>’</w:t>
      </w:r>
      <w:r w:rsidRPr="00986EB0">
        <w:rPr>
          <w:rFonts w:ascii="Arial" w:eastAsia="Gadugi" w:hAnsi="Arial" w:cs="Arial"/>
          <w:sz w:val="24"/>
          <w:lang w:bidi="fr-CA"/>
        </w:rPr>
        <w:t>achat PÉCI proposé n</w:t>
      </w:r>
      <w:r w:rsidR="00DE3A58" w:rsidRPr="00986EB0">
        <w:rPr>
          <w:rFonts w:ascii="Arial" w:eastAsia="Gadugi" w:hAnsi="Arial" w:cs="Arial"/>
          <w:sz w:val="24"/>
          <w:lang w:bidi="fr-CA"/>
        </w:rPr>
        <w:t>’</w:t>
      </w:r>
      <w:r w:rsidRPr="00986EB0">
        <w:rPr>
          <w:rFonts w:ascii="Arial" w:eastAsia="Gadugi" w:hAnsi="Arial" w:cs="Arial"/>
          <w:sz w:val="24"/>
          <w:lang w:bidi="fr-CA"/>
        </w:rPr>
        <w:t>est pas assez attrayant pour favoriser la mise au point de nouveaux systèmes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au Nunavut. Le délai de récupération prévu pour un projet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dans le cadre du programme PÉCI proposé pourrait varier de 20 ans à 55 ans ou être supérieur à 65 ans. Il a été suggéré qu’un délai de récupération de l</w:t>
      </w:r>
      <w:r w:rsidR="00DE3A58" w:rsidRPr="00986EB0">
        <w:rPr>
          <w:rFonts w:ascii="Arial" w:eastAsia="Gadugi" w:hAnsi="Arial" w:cs="Arial"/>
          <w:sz w:val="24"/>
          <w:lang w:bidi="fr-CA"/>
        </w:rPr>
        <w:t>’</w:t>
      </w:r>
      <w:r w:rsidRPr="00986EB0">
        <w:rPr>
          <w:rFonts w:ascii="Arial" w:eastAsia="Gadugi" w:hAnsi="Arial" w:cs="Arial"/>
          <w:sz w:val="24"/>
          <w:lang w:bidi="fr-CA"/>
        </w:rPr>
        <w:t>ordre de 20 à 30 ans se rapprochait davantage de la durée de vie prévue de l</w:t>
      </w:r>
      <w:r w:rsidR="00DE3A58" w:rsidRPr="00986EB0">
        <w:rPr>
          <w:rFonts w:ascii="Arial" w:eastAsia="Gadugi" w:hAnsi="Arial" w:cs="Arial"/>
          <w:sz w:val="24"/>
          <w:lang w:bidi="fr-CA"/>
        </w:rPr>
        <w:t>’</w:t>
      </w:r>
      <w:r w:rsidRPr="00986EB0">
        <w:rPr>
          <w:rFonts w:ascii="Arial" w:eastAsia="Gadugi" w:hAnsi="Arial" w:cs="Arial"/>
          <w:sz w:val="24"/>
          <w:lang w:bidi="fr-CA"/>
        </w:rPr>
        <w:t>équipement.</w:t>
      </w:r>
    </w:p>
    <w:p w14:paraId="4FEBB3E4" w14:textId="2CD29D97"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Dans le cadre du programme PÉCI proposé, seuls les projets bénéficiant d</w:t>
      </w:r>
      <w:r w:rsidR="00DE3A58" w:rsidRPr="00986EB0">
        <w:rPr>
          <w:rFonts w:ascii="Arial" w:eastAsia="Gadugi" w:hAnsi="Arial" w:cs="Arial"/>
          <w:sz w:val="24"/>
          <w:lang w:bidi="fr-CA"/>
        </w:rPr>
        <w:t>’</w:t>
      </w:r>
      <w:r w:rsidRPr="00986EB0">
        <w:rPr>
          <w:rFonts w:ascii="Arial" w:eastAsia="Gadugi" w:hAnsi="Arial" w:cs="Arial"/>
          <w:sz w:val="24"/>
          <w:lang w:bidi="fr-CA"/>
        </w:rPr>
        <w:t>une subvention ou d</w:t>
      </w:r>
      <w:r w:rsidR="00DE3A58" w:rsidRPr="00986EB0">
        <w:rPr>
          <w:rFonts w:ascii="Arial" w:eastAsia="Gadugi" w:hAnsi="Arial" w:cs="Arial"/>
          <w:sz w:val="24"/>
          <w:lang w:bidi="fr-CA"/>
        </w:rPr>
        <w:t>’</w:t>
      </w:r>
      <w:r w:rsidRPr="00986EB0">
        <w:rPr>
          <w:rFonts w:ascii="Arial" w:eastAsia="Gadugi" w:hAnsi="Arial" w:cs="Arial"/>
          <w:sz w:val="24"/>
          <w:lang w:bidi="fr-CA"/>
        </w:rPr>
        <w:t>un financement incitatif extérieur important peuvent être financièrement viables.</w:t>
      </w:r>
    </w:p>
    <w:p w14:paraId="2061181C" w14:textId="4D9DD102"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La limite de 20 % d</w:t>
      </w:r>
      <w:r w:rsidR="00DE3A58" w:rsidRPr="00986EB0">
        <w:rPr>
          <w:rFonts w:ascii="Arial" w:eastAsia="Gadugi" w:hAnsi="Arial" w:cs="Arial"/>
          <w:sz w:val="24"/>
          <w:lang w:bidi="fr-CA"/>
        </w:rPr>
        <w:t>’</w:t>
      </w:r>
      <w:r w:rsidRPr="00986EB0">
        <w:rPr>
          <w:rFonts w:ascii="Arial" w:eastAsia="Gadugi" w:hAnsi="Arial" w:cs="Arial"/>
          <w:sz w:val="24"/>
          <w:lang w:bidi="fr-CA"/>
        </w:rPr>
        <w:t>augmentation du taux d</w:t>
      </w:r>
      <w:r w:rsidR="00DE3A58" w:rsidRPr="00986EB0">
        <w:rPr>
          <w:rFonts w:ascii="Arial" w:eastAsia="Gadugi" w:hAnsi="Arial" w:cs="Arial"/>
          <w:sz w:val="24"/>
          <w:lang w:bidi="fr-CA"/>
        </w:rPr>
        <w:t>’</w:t>
      </w:r>
      <w:r w:rsidRPr="00986EB0">
        <w:rPr>
          <w:rFonts w:ascii="Arial" w:eastAsia="Gadugi" w:hAnsi="Arial" w:cs="Arial"/>
          <w:sz w:val="24"/>
          <w:lang w:bidi="fr-CA"/>
        </w:rPr>
        <w:t>achat du PÉCI n</w:t>
      </w:r>
      <w:r w:rsidR="00DE3A58" w:rsidRPr="00986EB0">
        <w:rPr>
          <w:rFonts w:ascii="Arial" w:eastAsia="Gadugi" w:hAnsi="Arial" w:cs="Arial"/>
          <w:sz w:val="24"/>
          <w:lang w:bidi="fr-CA"/>
        </w:rPr>
        <w:t>’</w:t>
      </w:r>
      <w:r w:rsidRPr="00986EB0">
        <w:rPr>
          <w:rFonts w:ascii="Arial" w:eastAsia="Gadugi" w:hAnsi="Arial" w:cs="Arial"/>
          <w:sz w:val="24"/>
          <w:lang w:bidi="fr-CA"/>
        </w:rPr>
        <w:t>est pas intéressante.</w:t>
      </w:r>
    </w:p>
    <w:p w14:paraId="47E69B53" w14:textId="44E61D4E"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y a pas de réduction directe des gaz à effet de serre (GES) attribuable aux clients individuels.</w:t>
      </w:r>
    </w:p>
    <w:p w14:paraId="74E19EFC" w14:textId="026C79E0"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prix d</w:t>
      </w:r>
      <w:r w:rsidR="00DE3A58" w:rsidRPr="00986EB0">
        <w:rPr>
          <w:rFonts w:ascii="Arial" w:eastAsia="Gadugi" w:hAnsi="Arial" w:cs="Arial"/>
          <w:sz w:val="24"/>
          <w:lang w:bidi="fr-CA"/>
        </w:rPr>
        <w:t>’</w:t>
      </w:r>
      <w:r w:rsidRPr="00986EB0">
        <w:rPr>
          <w:rFonts w:ascii="Arial" w:eastAsia="Gadugi" w:hAnsi="Arial" w:cs="Arial"/>
          <w:sz w:val="24"/>
          <w:lang w:bidi="fr-CA"/>
        </w:rPr>
        <w:t>achat du PÉCI doit tenir compte du co</w:t>
      </w:r>
      <w:r w:rsidR="00DE3A58" w:rsidRPr="00986EB0">
        <w:rPr>
          <w:rFonts w:ascii="Arial" w:eastAsia="Gadugi" w:hAnsi="Arial" w:cs="Arial"/>
          <w:sz w:val="24"/>
          <w:lang w:bidi="fr-CA"/>
        </w:rPr>
        <w:t>u</w:t>
      </w:r>
      <w:r w:rsidRPr="00986EB0">
        <w:rPr>
          <w:rFonts w:ascii="Arial" w:eastAsia="Gadugi" w:hAnsi="Arial" w:cs="Arial"/>
          <w:sz w:val="24"/>
          <w:lang w:bidi="fr-CA"/>
        </w:rPr>
        <w:t>t d</w:t>
      </w:r>
      <w:r w:rsidR="00DE3A58" w:rsidRPr="00986EB0">
        <w:rPr>
          <w:rFonts w:ascii="Arial" w:eastAsia="Gadugi" w:hAnsi="Arial" w:cs="Arial"/>
          <w:sz w:val="24"/>
          <w:lang w:bidi="fr-CA"/>
        </w:rPr>
        <w:t>’</w:t>
      </w:r>
      <w:r w:rsidRPr="00986EB0">
        <w:rPr>
          <w:rFonts w:ascii="Arial" w:eastAsia="Gadugi" w:hAnsi="Arial" w:cs="Arial"/>
          <w:sz w:val="24"/>
          <w:lang w:bidi="fr-CA"/>
        </w:rPr>
        <w:t>installation, d</w:t>
      </w:r>
      <w:r w:rsidR="00DE3A58" w:rsidRPr="00986EB0">
        <w:rPr>
          <w:rFonts w:ascii="Arial" w:eastAsia="Gadugi" w:hAnsi="Arial" w:cs="Arial"/>
          <w:sz w:val="24"/>
          <w:lang w:bidi="fr-CA"/>
        </w:rPr>
        <w:t>’</w:t>
      </w:r>
      <w:r w:rsidRPr="00986EB0">
        <w:rPr>
          <w:rFonts w:ascii="Arial" w:eastAsia="Gadugi" w:hAnsi="Arial" w:cs="Arial"/>
          <w:sz w:val="24"/>
          <w:lang w:bidi="fr-CA"/>
        </w:rPr>
        <w:t>exploitation et d</w:t>
      </w:r>
      <w:r w:rsidR="00DE3A58" w:rsidRPr="00986EB0">
        <w:rPr>
          <w:rFonts w:ascii="Arial" w:eastAsia="Gadugi" w:hAnsi="Arial" w:cs="Arial"/>
          <w:sz w:val="24"/>
          <w:lang w:bidi="fr-CA"/>
        </w:rPr>
        <w:t>’</w:t>
      </w:r>
      <w:r w:rsidRPr="00986EB0">
        <w:rPr>
          <w:rFonts w:ascii="Arial" w:eastAsia="Gadugi" w:hAnsi="Arial" w:cs="Arial"/>
          <w:sz w:val="24"/>
          <w:lang w:bidi="fr-CA"/>
        </w:rPr>
        <w:t>entretien de la production énergétique renouvelable, plutôt que du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w:t>
      </w:r>
    </w:p>
    <w:p w14:paraId="0E9D0F9A" w14:textId="3B5A3857" w:rsidR="003D56E8" w:rsidRPr="00986EB0"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lastRenderedPageBreak/>
        <w:t>La méthode d</w:t>
      </w:r>
      <w:r w:rsidR="00DE3A58" w:rsidRPr="00986EB0">
        <w:rPr>
          <w:rFonts w:ascii="Arial" w:eastAsia="Gadugi" w:hAnsi="Arial" w:cs="Arial"/>
          <w:sz w:val="24"/>
          <w:lang w:bidi="fr-CA"/>
        </w:rPr>
        <w:t>’</w:t>
      </w:r>
      <w:r w:rsidRPr="00986EB0">
        <w:rPr>
          <w:rFonts w:ascii="Arial" w:eastAsia="Gadugi" w:hAnsi="Arial" w:cs="Arial"/>
          <w:sz w:val="24"/>
          <w:lang w:bidi="fr-CA"/>
        </w:rPr>
        <w:t>ajustement du prix d</w:t>
      </w:r>
      <w:r w:rsidR="00DE3A58" w:rsidRPr="00986EB0">
        <w:rPr>
          <w:rFonts w:ascii="Arial" w:eastAsia="Gadugi" w:hAnsi="Arial" w:cs="Arial"/>
          <w:sz w:val="24"/>
          <w:lang w:bidi="fr-CA"/>
        </w:rPr>
        <w:t>’</w:t>
      </w:r>
      <w:r w:rsidRPr="00986EB0">
        <w:rPr>
          <w:rFonts w:ascii="Arial" w:eastAsia="Gadugi" w:hAnsi="Arial" w:cs="Arial"/>
          <w:sz w:val="24"/>
          <w:lang w:bidi="fr-CA"/>
        </w:rPr>
        <w:t>achat du PÉCI est potentiellement risquée pour le Nunavut et n</w:t>
      </w:r>
      <w:r w:rsidR="00DE3A58" w:rsidRPr="00986EB0">
        <w:rPr>
          <w:rFonts w:ascii="Arial" w:eastAsia="Gadugi" w:hAnsi="Arial" w:cs="Arial"/>
          <w:sz w:val="24"/>
          <w:lang w:bidi="fr-CA"/>
        </w:rPr>
        <w:t>’</w:t>
      </w:r>
      <w:r w:rsidRPr="00986EB0">
        <w:rPr>
          <w:rFonts w:ascii="Arial" w:eastAsia="Gadugi" w:hAnsi="Arial" w:cs="Arial"/>
          <w:sz w:val="24"/>
          <w:lang w:bidi="fr-CA"/>
        </w:rPr>
        <w:t>est pas claire. Elle devrait aussi être plus réactive (par exemple, des ajustements annuels) au lieu de la période d</w:t>
      </w:r>
      <w:r w:rsidR="00DE3A58" w:rsidRPr="00986EB0">
        <w:rPr>
          <w:rFonts w:ascii="Arial" w:eastAsia="Gadugi" w:hAnsi="Arial" w:cs="Arial"/>
          <w:sz w:val="24"/>
          <w:lang w:bidi="fr-CA"/>
        </w:rPr>
        <w:t>’</w:t>
      </w:r>
      <w:r w:rsidRPr="00986EB0">
        <w:rPr>
          <w:rFonts w:ascii="Arial" w:eastAsia="Gadugi" w:hAnsi="Arial" w:cs="Arial"/>
          <w:sz w:val="24"/>
          <w:lang w:bidi="fr-CA"/>
        </w:rPr>
        <w:t>ajustement de la RMTG de 4 ans (ou plus) proposée dans la demande du PÉCI.</w:t>
      </w:r>
    </w:p>
    <w:p w14:paraId="3A6C49B5" w14:textId="77777777" w:rsidR="003D56E8" w:rsidRPr="00986EB0" w:rsidRDefault="00AA767F" w:rsidP="00F82D91">
      <w:pPr>
        <w:widowControl/>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Les projets de plus grande envergure sont plus viables économiquement que les plus petits et il serait bon que la SÉQ envisage leur élaboration.</w:t>
      </w:r>
    </w:p>
    <w:p w14:paraId="67547886" w14:textId="261A3B20" w:rsidR="003D56E8" w:rsidRPr="00986EB0" w:rsidRDefault="002F4ECC"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La comparaison directe avec des programmes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au Canada pourrait ne pas être pertinente au Nunavut en raison des différences dans le territoire de service de la SÉQ (p. ex. connexion au réseau, accès routier, disponibilité d</w:t>
      </w:r>
      <w:r w:rsidR="00DE3A58" w:rsidRPr="00986EB0">
        <w:rPr>
          <w:rFonts w:ascii="Arial" w:eastAsia="Gadugi" w:hAnsi="Arial" w:cs="Arial"/>
          <w:sz w:val="24"/>
          <w:lang w:bidi="fr-CA"/>
        </w:rPr>
        <w:t>’</w:t>
      </w:r>
      <w:r w:rsidRPr="00986EB0">
        <w:rPr>
          <w:rFonts w:ascii="Arial" w:eastAsia="Gadugi" w:hAnsi="Arial" w:cs="Arial"/>
          <w:sz w:val="24"/>
          <w:lang w:bidi="fr-CA"/>
        </w:rPr>
        <w:t>autres sources d</w:t>
      </w:r>
      <w:r w:rsidR="00DE3A58" w:rsidRPr="00986EB0">
        <w:rPr>
          <w:rFonts w:ascii="Arial" w:eastAsia="Gadugi" w:hAnsi="Arial" w:cs="Arial"/>
          <w:sz w:val="24"/>
          <w:lang w:bidi="fr-CA"/>
        </w:rPr>
        <w:t>’</w:t>
      </w:r>
      <w:r w:rsidRPr="00986EB0">
        <w:rPr>
          <w:rFonts w:ascii="Arial" w:eastAsia="Gadugi" w:hAnsi="Arial" w:cs="Arial"/>
          <w:sz w:val="24"/>
          <w:lang w:bidi="fr-CA"/>
        </w:rPr>
        <w:t xml:space="preserve">énergie, etc.) </w:t>
      </w:r>
    </w:p>
    <w:p w14:paraId="2EA0895E" w14:textId="5CA2EE20"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La durée de l</w:t>
      </w:r>
      <w:r w:rsidR="00DE3A58" w:rsidRPr="00986EB0">
        <w:rPr>
          <w:rFonts w:ascii="Arial" w:eastAsia="Gadugi" w:hAnsi="Arial" w:cs="Arial"/>
          <w:sz w:val="24"/>
          <w:lang w:bidi="fr-CA"/>
        </w:rPr>
        <w:t>’</w:t>
      </w:r>
      <w:r w:rsidRPr="00986EB0">
        <w:rPr>
          <w:rFonts w:ascii="Arial" w:eastAsia="Gadugi" w:hAnsi="Arial" w:cs="Arial"/>
          <w:sz w:val="24"/>
          <w:lang w:bidi="fr-CA"/>
        </w:rPr>
        <w:t>AAÉ doit refléter la durée de vie prévue de l</w:t>
      </w:r>
      <w:r w:rsidR="00DE3A58" w:rsidRPr="00986EB0">
        <w:rPr>
          <w:rFonts w:ascii="Arial" w:eastAsia="Gadugi" w:hAnsi="Arial" w:cs="Arial"/>
          <w:sz w:val="24"/>
          <w:lang w:bidi="fr-CA"/>
        </w:rPr>
        <w:t>’</w:t>
      </w:r>
      <w:r w:rsidRPr="00986EB0">
        <w:rPr>
          <w:rFonts w:ascii="Arial" w:eastAsia="Gadugi" w:hAnsi="Arial" w:cs="Arial"/>
          <w:sz w:val="24"/>
          <w:lang w:bidi="fr-CA"/>
        </w:rPr>
        <w:t>équipement installé.</w:t>
      </w:r>
    </w:p>
    <w:p w14:paraId="5FC2A912" w14:textId="294ED762"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Un prix minimum garanti dans l</w:t>
      </w:r>
      <w:r w:rsidR="00DE3A58" w:rsidRPr="00986EB0">
        <w:rPr>
          <w:rFonts w:ascii="Arial" w:eastAsia="Gadugi" w:hAnsi="Arial" w:cs="Arial"/>
          <w:sz w:val="24"/>
          <w:lang w:bidi="fr-CA"/>
        </w:rPr>
        <w:t>’</w:t>
      </w:r>
      <w:r w:rsidRPr="00986EB0">
        <w:rPr>
          <w:rFonts w:ascii="Arial" w:eastAsia="Gadugi" w:hAnsi="Arial" w:cs="Arial"/>
          <w:sz w:val="24"/>
          <w:lang w:bidi="fr-CA"/>
        </w:rPr>
        <w:t>AAÉ est essentiel, quel que soit le co</w:t>
      </w:r>
      <w:r w:rsidR="00DE3A58" w:rsidRPr="00986EB0">
        <w:rPr>
          <w:rFonts w:ascii="Arial" w:eastAsia="Gadugi" w:hAnsi="Arial" w:cs="Arial"/>
          <w:sz w:val="24"/>
          <w:lang w:bidi="fr-CA"/>
        </w:rPr>
        <w:t>u</w:t>
      </w:r>
      <w:r w:rsidRPr="00986EB0">
        <w:rPr>
          <w:rFonts w:ascii="Arial" w:eastAsia="Gadugi" w:hAnsi="Arial" w:cs="Arial"/>
          <w:sz w:val="24"/>
          <w:lang w:bidi="fr-CA"/>
        </w:rPr>
        <w:t>t réel du di</w:t>
      </w:r>
      <w:r w:rsidR="00DE3A58" w:rsidRPr="00986EB0">
        <w:rPr>
          <w:rFonts w:ascii="Arial" w:eastAsia="Gadugi" w:hAnsi="Arial" w:cs="Arial"/>
          <w:sz w:val="24"/>
          <w:lang w:bidi="fr-CA"/>
        </w:rPr>
        <w:t>é</w:t>
      </w:r>
      <w:r w:rsidRPr="00986EB0">
        <w:rPr>
          <w:rFonts w:ascii="Arial" w:eastAsia="Gadugi" w:hAnsi="Arial" w:cs="Arial"/>
          <w:sz w:val="24"/>
          <w:lang w:bidi="fr-CA"/>
        </w:rPr>
        <w:t>sel pour la SÉQ.</w:t>
      </w:r>
    </w:p>
    <w:p w14:paraId="49DD1425" w14:textId="15056C86"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prix minimum garanti ne devrait pas entra</w:t>
      </w:r>
      <w:r w:rsidR="00DE3A58" w:rsidRPr="00986EB0">
        <w:rPr>
          <w:rFonts w:ascii="Arial" w:eastAsia="Gadugi" w:hAnsi="Arial" w:cs="Arial"/>
          <w:sz w:val="24"/>
          <w:lang w:bidi="fr-CA"/>
        </w:rPr>
        <w:t>i</w:t>
      </w:r>
      <w:r w:rsidRPr="00986EB0">
        <w:rPr>
          <w:rFonts w:ascii="Arial" w:eastAsia="Gadugi" w:hAnsi="Arial" w:cs="Arial"/>
          <w:sz w:val="24"/>
          <w:lang w:bidi="fr-CA"/>
        </w:rPr>
        <w:t>ner le risque pour la SÉQ de payer trop cher pour l</w:t>
      </w:r>
      <w:r w:rsidR="00DE3A58" w:rsidRPr="00986EB0">
        <w:rPr>
          <w:rFonts w:ascii="Arial" w:eastAsia="Gadugi" w:hAnsi="Arial" w:cs="Arial"/>
          <w:sz w:val="24"/>
          <w:lang w:bidi="fr-CA"/>
        </w:rPr>
        <w:t>’</w:t>
      </w:r>
      <w:r w:rsidRPr="00986EB0">
        <w:rPr>
          <w:rFonts w:ascii="Arial" w:eastAsia="Gadugi" w:hAnsi="Arial" w:cs="Arial"/>
          <w:sz w:val="24"/>
          <w:lang w:bidi="fr-CA"/>
        </w:rPr>
        <w:t>alimentation du PÉCI.</w:t>
      </w:r>
    </w:p>
    <w:p w14:paraId="415AABE7" w14:textId="1336C061"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prix d</w:t>
      </w:r>
      <w:r w:rsidR="00DE3A58" w:rsidRPr="00986EB0">
        <w:rPr>
          <w:rFonts w:ascii="Arial" w:eastAsia="Gadugi" w:hAnsi="Arial" w:cs="Arial"/>
          <w:sz w:val="24"/>
          <w:lang w:bidi="fr-CA"/>
        </w:rPr>
        <w:t>’</w:t>
      </w:r>
      <w:r w:rsidRPr="00986EB0">
        <w:rPr>
          <w:rFonts w:ascii="Arial" w:eastAsia="Gadugi" w:hAnsi="Arial" w:cs="Arial"/>
          <w:sz w:val="24"/>
          <w:lang w:bidi="fr-CA"/>
        </w:rPr>
        <w:t>achat du PÉCI devrait être supérieur au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et inclure d</w:t>
      </w:r>
      <w:r w:rsidR="00DE3A58" w:rsidRPr="00986EB0">
        <w:rPr>
          <w:rFonts w:ascii="Arial" w:eastAsia="Gadugi" w:hAnsi="Arial" w:cs="Arial"/>
          <w:sz w:val="24"/>
          <w:lang w:bidi="fr-CA"/>
        </w:rPr>
        <w:t>’</w:t>
      </w:r>
      <w:r w:rsidRPr="00986EB0">
        <w:rPr>
          <w:rFonts w:ascii="Arial" w:eastAsia="Gadugi" w:hAnsi="Arial" w:cs="Arial"/>
          <w:sz w:val="24"/>
          <w:lang w:bidi="fr-CA"/>
        </w:rPr>
        <w:t>autres co</w:t>
      </w:r>
      <w:r w:rsidR="00DE3A58" w:rsidRPr="00986EB0">
        <w:rPr>
          <w:rFonts w:ascii="Arial" w:eastAsia="Gadugi" w:hAnsi="Arial" w:cs="Arial"/>
          <w:sz w:val="24"/>
          <w:lang w:bidi="fr-CA"/>
        </w:rPr>
        <w:t>u</w:t>
      </w:r>
      <w:r w:rsidRPr="00986EB0">
        <w:rPr>
          <w:rFonts w:ascii="Arial" w:eastAsia="Gadugi" w:hAnsi="Arial" w:cs="Arial"/>
          <w:sz w:val="24"/>
          <w:lang w:bidi="fr-CA"/>
        </w:rPr>
        <w:t>ts fixes et variables évités de la SÉQ, les co</w:t>
      </w:r>
      <w:r w:rsidR="00DE3A58" w:rsidRPr="00986EB0">
        <w:rPr>
          <w:rFonts w:ascii="Arial" w:eastAsia="Gadugi" w:hAnsi="Arial" w:cs="Arial"/>
          <w:sz w:val="24"/>
          <w:lang w:bidi="fr-CA"/>
        </w:rPr>
        <w:t>u</w:t>
      </w:r>
      <w:r w:rsidRPr="00986EB0">
        <w:rPr>
          <w:rFonts w:ascii="Arial" w:eastAsia="Gadugi" w:hAnsi="Arial" w:cs="Arial"/>
          <w:sz w:val="24"/>
          <w:lang w:bidi="fr-CA"/>
        </w:rPr>
        <w:t>ts évités du gouvernement du Nunavut (GN) [p. ex. la division des Produits pétroliers (DPP), le programme de subvention sur l</w:t>
      </w:r>
      <w:r w:rsidR="00DE3A58" w:rsidRPr="00986EB0">
        <w:rPr>
          <w:rFonts w:ascii="Arial" w:eastAsia="Gadugi" w:hAnsi="Arial" w:cs="Arial"/>
          <w:sz w:val="24"/>
          <w:lang w:bidi="fr-CA"/>
        </w:rPr>
        <w:t>’</w:t>
      </w:r>
      <w:r w:rsidRPr="00986EB0">
        <w:rPr>
          <w:rFonts w:ascii="Arial" w:eastAsia="Gadugi" w:hAnsi="Arial" w:cs="Arial"/>
          <w:sz w:val="24"/>
          <w:lang w:bidi="fr-CA"/>
        </w:rPr>
        <w:t>électricité, la politique de logement du personnel, le(s) programme(s) d’assistance au revenu, ainsi que les co</w:t>
      </w:r>
      <w:r w:rsidR="00DE3A58" w:rsidRPr="00986EB0">
        <w:rPr>
          <w:rFonts w:ascii="Arial" w:eastAsia="Gadugi" w:hAnsi="Arial" w:cs="Arial"/>
          <w:sz w:val="24"/>
          <w:lang w:bidi="fr-CA"/>
        </w:rPr>
        <w:t>u</w:t>
      </w:r>
      <w:r w:rsidRPr="00986EB0">
        <w:rPr>
          <w:rFonts w:ascii="Arial" w:eastAsia="Gadugi" w:hAnsi="Arial" w:cs="Arial"/>
          <w:sz w:val="24"/>
          <w:lang w:bidi="fr-CA"/>
        </w:rPr>
        <w:t>ts sociaux, sanitaires et environnementaux liés au carbone/aux émissions (y compris, mais sans s</w:t>
      </w:r>
      <w:r w:rsidR="00DE3A58" w:rsidRPr="00986EB0">
        <w:rPr>
          <w:rFonts w:ascii="Arial" w:eastAsia="Gadugi" w:hAnsi="Arial" w:cs="Arial"/>
          <w:sz w:val="24"/>
          <w:lang w:bidi="fr-CA"/>
        </w:rPr>
        <w:t>’</w:t>
      </w:r>
      <w:r w:rsidRPr="00986EB0">
        <w:rPr>
          <w:rFonts w:ascii="Arial" w:eastAsia="Gadugi" w:hAnsi="Arial" w:cs="Arial"/>
          <w:sz w:val="24"/>
          <w:lang w:bidi="fr-CA"/>
        </w:rPr>
        <w:t>y limiter, les taxes potentielles sur le carbone)].</w:t>
      </w:r>
    </w:p>
    <w:p w14:paraId="4E819C4D" w14:textId="77777777"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La structure du programme de facturation nette est préférable à celle du programme PÉCI car elle est plus intéressante pour les promoteurs potentiels, sauf peut-être pour les grands projets.</w:t>
      </w:r>
    </w:p>
    <w:p w14:paraId="5D561894" w14:textId="15766476"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programme PÉCI doit être neutre en termes de co</w:t>
      </w:r>
      <w:r w:rsidR="00DE3A58" w:rsidRPr="00986EB0">
        <w:rPr>
          <w:rFonts w:ascii="Arial" w:eastAsia="Gadugi" w:hAnsi="Arial" w:cs="Arial"/>
          <w:sz w:val="24"/>
          <w:lang w:bidi="fr-CA"/>
        </w:rPr>
        <w:t>u</w:t>
      </w:r>
      <w:r w:rsidRPr="00986EB0">
        <w:rPr>
          <w:rFonts w:ascii="Arial" w:eastAsia="Gadugi" w:hAnsi="Arial" w:cs="Arial"/>
          <w:sz w:val="24"/>
          <w:lang w:bidi="fr-CA"/>
        </w:rPr>
        <w:t xml:space="preserve">ts pour les </w:t>
      </w:r>
      <w:r w:rsidRPr="00986EB0">
        <w:rPr>
          <w:rFonts w:ascii="Arial" w:eastAsia="Gadugi" w:hAnsi="Arial" w:cs="Arial"/>
          <w:sz w:val="24"/>
          <w:lang w:bidi="fr-CA"/>
        </w:rPr>
        <w:lastRenderedPageBreak/>
        <w:t>clients, mais aussi suffisamment avantageux pour encourager les investissements dans les énergies renouvelables.</w:t>
      </w:r>
    </w:p>
    <w:p w14:paraId="4AF9C11A" w14:textId="420F5F28"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y a pas de définition de l</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ni de limite à la capacité de production incluse dans le programme PÉCI.</w:t>
      </w:r>
    </w:p>
    <w:p w14:paraId="6A71EC64" w14:textId="29E33937"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prix d</w:t>
      </w:r>
      <w:r w:rsidR="00DE3A58" w:rsidRPr="00986EB0">
        <w:rPr>
          <w:rFonts w:ascii="Arial" w:eastAsia="Gadugi" w:hAnsi="Arial" w:cs="Arial"/>
          <w:sz w:val="24"/>
          <w:lang w:bidi="fr-CA"/>
        </w:rPr>
        <w:t>’</w:t>
      </w:r>
      <w:r w:rsidRPr="00986EB0">
        <w:rPr>
          <w:rFonts w:ascii="Arial" w:eastAsia="Gadugi" w:hAnsi="Arial" w:cs="Arial"/>
          <w:sz w:val="24"/>
          <w:lang w:bidi="fr-CA"/>
        </w:rPr>
        <w:t>achat du PÉCI devrait inclure une mesure incitative visant à promouvoir la propriété inuite dans les installations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w:t>
      </w:r>
    </w:p>
    <w:p w14:paraId="2F86B263" w14:textId="5868996F" w:rsidR="003D56E8" w:rsidRPr="00986EB0"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programme PÉCI doit souligner la nécessité d</w:t>
      </w:r>
      <w:r w:rsidR="00DE3A58" w:rsidRPr="00986EB0">
        <w:rPr>
          <w:rFonts w:ascii="Arial" w:eastAsia="Gadugi" w:hAnsi="Arial" w:cs="Arial"/>
          <w:sz w:val="24"/>
          <w:lang w:bidi="fr-CA"/>
        </w:rPr>
        <w:t>’</w:t>
      </w:r>
      <w:r w:rsidRPr="00986EB0">
        <w:rPr>
          <w:rFonts w:ascii="Arial" w:eastAsia="Gadugi" w:hAnsi="Arial" w:cs="Arial"/>
          <w:sz w:val="24"/>
          <w:lang w:bidi="fr-CA"/>
        </w:rPr>
        <w:t>une étude des répercussions sur le réseau et indiquer qui est responsable de l</w:t>
      </w:r>
      <w:r w:rsidR="00DE3A58" w:rsidRPr="00986EB0">
        <w:rPr>
          <w:rFonts w:ascii="Arial" w:eastAsia="Gadugi" w:hAnsi="Arial" w:cs="Arial"/>
          <w:sz w:val="24"/>
          <w:lang w:bidi="fr-CA"/>
        </w:rPr>
        <w:t>’</w:t>
      </w:r>
      <w:r w:rsidRPr="00986EB0">
        <w:rPr>
          <w:rFonts w:ascii="Arial" w:eastAsia="Gadugi" w:hAnsi="Arial" w:cs="Arial"/>
          <w:sz w:val="24"/>
          <w:lang w:bidi="fr-CA"/>
        </w:rPr>
        <w:t>exécution de ce travail (c.-à-d. que le promoteur PÉCI ne doit pas en assumer tout le fardeau).</w:t>
      </w:r>
    </w:p>
    <w:p w14:paraId="5D7655AE" w14:textId="70692DA8" w:rsidR="003D56E8" w:rsidRPr="00986EB0" w:rsidRDefault="00AA767F" w:rsidP="005D40A6">
      <w:pPr>
        <w:widowControl/>
        <w:numPr>
          <w:ilvl w:val="3"/>
          <w:numId w:val="4"/>
        </w:numPr>
        <w:pBdr>
          <w:top w:val="nil"/>
          <w:left w:val="nil"/>
          <w:bottom w:val="nil"/>
          <w:right w:val="nil"/>
          <w:between w:val="nil"/>
        </w:pBdr>
        <w:tabs>
          <w:tab w:val="left" w:pos="885"/>
        </w:tabs>
        <w:spacing w:before="60" w:line="360" w:lineRule="auto"/>
        <w:ind w:left="1541" w:right="115" w:hanging="274"/>
        <w:jc w:val="both"/>
        <w:rPr>
          <w:rFonts w:ascii="Arial" w:hAnsi="Arial" w:cs="Arial"/>
          <w:color w:val="000000"/>
          <w:sz w:val="24"/>
          <w:szCs w:val="24"/>
        </w:rPr>
      </w:pPr>
      <w:r w:rsidRPr="00986EB0">
        <w:rPr>
          <w:rFonts w:ascii="Arial" w:eastAsia="Gadugi" w:hAnsi="Arial" w:cs="Arial"/>
          <w:sz w:val="24"/>
          <w:lang w:bidi="fr-CA"/>
        </w:rPr>
        <w:t>Le prix d</w:t>
      </w:r>
      <w:r w:rsidR="00DE3A58" w:rsidRPr="00986EB0">
        <w:rPr>
          <w:rFonts w:ascii="Arial" w:eastAsia="Gadugi" w:hAnsi="Arial" w:cs="Arial"/>
          <w:sz w:val="24"/>
          <w:lang w:bidi="fr-CA"/>
        </w:rPr>
        <w:t>’</w:t>
      </w:r>
      <w:r w:rsidRPr="00986EB0">
        <w:rPr>
          <w:rFonts w:ascii="Arial" w:eastAsia="Gadugi" w:hAnsi="Arial" w:cs="Arial"/>
          <w:sz w:val="24"/>
          <w:lang w:bidi="fr-CA"/>
        </w:rPr>
        <w:t>achat du PÉCI devrait inclure une allocation supplémentaire pour refléter la valeur que les énergies renouvelables et le stockage d</w:t>
      </w:r>
      <w:r w:rsidR="00DE3A58" w:rsidRPr="00986EB0">
        <w:rPr>
          <w:rFonts w:ascii="Arial" w:eastAsia="Gadugi" w:hAnsi="Arial" w:cs="Arial"/>
          <w:sz w:val="24"/>
          <w:lang w:bidi="fr-CA"/>
        </w:rPr>
        <w:t>’</w:t>
      </w:r>
      <w:r w:rsidRPr="00986EB0">
        <w:rPr>
          <w:rFonts w:ascii="Arial" w:eastAsia="Gadugi" w:hAnsi="Arial" w:cs="Arial"/>
          <w:sz w:val="24"/>
          <w:lang w:bidi="fr-CA"/>
        </w:rPr>
        <w:t>énergie par batterie peuvent apporter aux opérations et à la stabilité du réseau.</w:t>
      </w:r>
    </w:p>
    <w:p w14:paraId="1FC1EC9F" w14:textId="5221D04E" w:rsidR="003D56E8" w:rsidRPr="00986EB0" w:rsidRDefault="00AA767F" w:rsidP="005747F1">
      <w:pPr>
        <w:keepNext/>
        <w:keepLines/>
        <w:widowControl/>
        <w:numPr>
          <w:ilvl w:val="2"/>
          <w:numId w:val="4"/>
        </w:numPr>
        <w:pBdr>
          <w:top w:val="nil"/>
          <w:left w:val="nil"/>
          <w:bottom w:val="nil"/>
          <w:right w:val="nil"/>
          <w:between w:val="nil"/>
        </w:pBdr>
        <w:tabs>
          <w:tab w:val="left" w:pos="885"/>
        </w:tabs>
        <w:spacing w:line="360" w:lineRule="auto"/>
        <w:ind w:left="878" w:right="115"/>
        <w:jc w:val="both"/>
        <w:rPr>
          <w:rFonts w:ascii="Arial" w:hAnsi="Arial" w:cs="Arial"/>
          <w:sz w:val="24"/>
          <w:szCs w:val="24"/>
        </w:rPr>
        <w:sectPr w:rsidR="003D56E8" w:rsidRPr="00986EB0">
          <w:pgSz w:w="12240" w:h="15840"/>
          <w:pgMar w:top="1411" w:right="1310" w:bottom="1138" w:left="1310" w:header="720" w:footer="720" w:gutter="0"/>
          <w:cols w:space="720" w:equalWidth="0">
            <w:col w:w="9360"/>
          </w:cols>
        </w:sectPr>
      </w:pPr>
      <w:r w:rsidRPr="00986EB0">
        <w:rPr>
          <w:rFonts w:ascii="Arial" w:eastAsia="Gadugi" w:hAnsi="Arial" w:cs="Arial"/>
          <w:sz w:val="24"/>
          <w:lang w:bidi="fr-CA"/>
        </w:rPr>
        <w:t>Toute omission d</w:t>
      </w:r>
      <w:r w:rsidR="00DE3A58" w:rsidRPr="00986EB0">
        <w:rPr>
          <w:rFonts w:ascii="Arial" w:eastAsia="Gadugi" w:hAnsi="Arial" w:cs="Arial"/>
          <w:sz w:val="24"/>
          <w:lang w:bidi="fr-CA"/>
        </w:rPr>
        <w:t>’</w:t>
      </w:r>
      <w:r w:rsidRPr="00986EB0">
        <w:rPr>
          <w:rFonts w:ascii="Arial" w:eastAsia="Gadugi" w:hAnsi="Arial" w:cs="Arial"/>
          <w:sz w:val="24"/>
          <w:lang w:bidi="fr-CA"/>
        </w:rPr>
        <w:t>un commentaire ou d</w:t>
      </w:r>
      <w:r w:rsidR="00DE3A58" w:rsidRPr="00986EB0">
        <w:rPr>
          <w:rFonts w:ascii="Arial" w:eastAsia="Gadugi" w:hAnsi="Arial" w:cs="Arial"/>
          <w:sz w:val="24"/>
          <w:lang w:bidi="fr-CA"/>
        </w:rPr>
        <w:t>’</w:t>
      </w:r>
      <w:r w:rsidRPr="00986EB0">
        <w:rPr>
          <w:rFonts w:ascii="Arial" w:eastAsia="Gadugi" w:hAnsi="Arial" w:cs="Arial"/>
          <w:sz w:val="24"/>
          <w:lang w:bidi="fr-CA"/>
        </w:rPr>
        <w:t>une rétroaction dans le présent rapport ne doit pas être interprétée comme étant un accord ou un désaccord de la part du CETES, ou que ce commentaire ou cette rétroaction n</w:t>
      </w:r>
      <w:r w:rsidR="00DE3A58" w:rsidRPr="00986EB0">
        <w:rPr>
          <w:rFonts w:ascii="Arial" w:eastAsia="Gadugi" w:hAnsi="Arial" w:cs="Arial"/>
          <w:sz w:val="24"/>
          <w:lang w:bidi="fr-CA"/>
        </w:rPr>
        <w:t>’</w:t>
      </w:r>
      <w:r w:rsidRPr="00986EB0">
        <w:rPr>
          <w:rFonts w:ascii="Arial" w:eastAsia="Gadugi" w:hAnsi="Arial" w:cs="Arial"/>
          <w:sz w:val="24"/>
          <w:lang w:bidi="fr-CA"/>
        </w:rPr>
        <w:t xml:space="preserve">a pas été pris en compte. Pour une meilleure compréhension des commentaires et des rétroactions, </w:t>
      </w:r>
      <w:proofErr w:type="spellStart"/>
      <w:r w:rsidRPr="00986EB0">
        <w:rPr>
          <w:rFonts w:ascii="Arial" w:eastAsia="Gadugi" w:hAnsi="Arial" w:cs="Arial"/>
          <w:sz w:val="24"/>
          <w:lang w:bidi="fr-CA"/>
        </w:rPr>
        <w:t>veuillez vous</w:t>
      </w:r>
      <w:proofErr w:type="spellEnd"/>
      <w:r w:rsidRPr="00986EB0">
        <w:rPr>
          <w:rFonts w:ascii="Arial" w:eastAsia="Gadugi" w:hAnsi="Arial" w:cs="Arial"/>
          <w:sz w:val="24"/>
          <w:lang w:bidi="fr-CA"/>
        </w:rPr>
        <w:t xml:space="preserve"> référer aux soumissions. </w:t>
      </w:r>
    </w:p>
    <w:p w14:paraId="4EBB7329" w14:textId="083DCC8F" w:rsidR="00A928FC" w:rsidRPr="00986EB0" w:rsidRDefault="00A928FC" w:rsidP="00A928FC">
      <w:pPr>
        <w:rPr>
          <w:rFonts w:ascii="Arial" w:hAnsi="Arial" w:cs="Arial"/>
        </w:rPr>
      </w:pPr>
      <w:bookmarkStart w:id="13" w:name="bookmark=id.26in1rg" w:colFirst="0" w:colLast="0"/>
      <w:bookmarkStart w:id="14" w:name="_heading=h.lnxbz9" w:colFirst="0" w:colLast="0"/>
      <w:bookmarkEnd w:id="13"/>
      <w:bookmarkEnd w:id="14"/>
    </w:p>
    <w:p w14:paraId="45DD3196" w14:textId="77777777" w:rsidR="00A928FC" w:rsidRPr="00986EB0" w:rsidRDefault="00A928FC" w:rsidP="00A928FC">
      <w:pPr>
        <w:rPr>
          <w:rFonts w:ascii="Arial" w:hAnsi="Arial" w:cs="Arial"/>
        </w:rPr>
      </w:pPr>
    </w:p>
    <w:p w14:paraId="6D9F65A1" w14:textId="004AC02F" w:rsidR="003D56E8" w:rsidRPr="00986EB0" w:rsidRDefault="00AA767F" w:rsidP="00FD4CC3">
      <w:pPr>
        <w:pStyle w:val="URRCHeading1"/>
        <w:rPr>
          <w:rFonts w:ascii="Arial" w:hAnsi="Arial" w:cs="Arial"/>
        </w:rPr>
      </w:pPr>
      <w:r w:rsidRPr="00986EB0">
        <w:rPr>
          <w:rFonts w:ascii="Arial" w:eastAsia="Gadugi" w:hAnsi="Arial" w:cs="Arial"/>
          <w:lang w:bidi="fr-CA"/>
        </w:rPr>
        <w:t>EXAMEN DE LA DEMANDE</w:t>
      </w:r>
    </w:p>
    <w:p w14:paraId="170AB179" w14:textId="77777777" w:rsidR="003D56E8" w:rsidRPr="00986EB0" w:rsidRDefault="003D56E8">
      <w:pPr>
        <w:pBdr>
          <w:top w:val="nil"/>
          <w:left w:val="nil"/>
          <w:bottom w:val="nil"/>
          <w:right w:val="nil"/>
          <w:between w:val="nil"/>
        </w:pBdr>
        <w:rPr>
          <w:rFonts w:ascii="Arial" w:hAnsi="Arial" w:cs="Arial"/>
          <w:color w:val="000000"/>
          <w:sz w:val="24"/>
          <w:szCs w:val="24"/>
        </w:rPr>
      </w:pPr>
    </w:p>
    <w:p w14:paraId="10473CA9" w14:textId="77777777" w:rsidR="003D56E8" w:rsidRPr="00986EB0" w:rsidRDefault="00AA767F" w:rsidP="00FD4CC3">
      <w:pPr>
        <w:pStyle w:val="URRCHeading2"/>
        <w:rPr>
          <w:rFonts w:ascii="Arial" w:hAnsi="Arial" w:cs="Arial"/>
        </w:rPr>
      </w:pPr>
      <w:bookmarkStart w:id="15" w:name="bookmark=id.35nkun2" w:colFirst="0" w:colLast="0"/>
      <w:bookmarkStart w:id="16" w:name="_heading=h.1ksv4uv" w:colFirst="0" w:colLast="0"/>
      <w:bookmarkEnd w:id="15"/>
      <w:bookmarkEnd w:id="16"/>
      <w:r w:rsidRPr="00986EB0">
        <w:rPr>
          <w:rFonts w:ascii="Arial" w:eastAsia="Gadugi" w:hAnsi="Arial" w:cs="Arial"/>
          <w:lang w:bidi="fr-CA"/>
        </w:rPr>
        <w:t>OBJECTIF GLOBAL ET PRÉMISSE DU PROGRAMME PÉCI</w:t>
      </w:r>
    </w:p>
    <w:p w14:paraId="17EEE0BC" w14:textId="77777777" w:rsidR="003D56E8" w:rsidRPr="00986EB0" w:rsidRDefault="003D56E8">
      <w:pPr>
        <w:pBdr>
          <w:top w:val="nil"/>
          <w:left w:val="nil"/>
          <w:bottom w:val="nil"/>
          <w:right w:val="nil"/>
          <w:between w:val="nil"/>
        </w:pBdr>
        <w:spacing w:before="8"/>
        <w:rPr>
          <w:rFonts w:ascii="Arial" w:hAnsi="Arial" w:cs="Arial"/>
          <w:color w:val="000000"/>
          <w:sz w:val="24"/>
          <w:szCs w:val="24"/>
        </w:rPr>
      </w:pPr>
    </w:p>
    <w:p w14:paraId="42304EC2" w14:textId="4900ADED"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fait valoir que la SÉQ a précisé que son mandat est de fournir une électricité s</w:t>
      </w:r>
      <w:r w:rsidR="00DE3A58" w:rsidRPr="00986EB0">
        <w:rPr>
          <w:rFonts w:ascii="Arial" w:eastAsia="Gadugi" w:hAnsi="Arial" w:cs="Arial"/>
          <w:sz w:val="24"/>
          <w:lang w:bidi="fr-CA"/>
        </w:rPr>
        <w:t>u</w:t>
      </w:r>
      <w:r w:rsidRPr="00986EB0">
        <w:rPr>
          <w:rFonts w:ascii="Arial" w:eastAsia="Gadugi" w:hAnsi="Arial" w:cs="Arial"/>
          <w:sz w:val="24"/>
          <w:lang w:bidi="fr-CA"/>
        </w:rPr>
        <w:t>re et fiable à un prix abordable. La SÉQ a également déclaré qu</w:t>
      </w:r>
      <w:r w:rsidR="00DE3A58" w:rsidRPr="00986EB0">
        <w:rPr>
          <w:rFonts w:ascii="Arial" w:eastAsia="Gadugi" w:hAnsi="Arial" w:cs="Arial"/>
          <w:sz w:val="24"/>
          <w:lang w:bidi="fr-CA"/>
        </w:rPr>
        <w:t>’</w:t>
      </w:r>
      <w:r w:rsidRPr="00986EB0">
        <w:rPr>
          <w:rFonts w:ascii="Arial" w:eastAsia="Gadugi" w:hAnsi="Arial" w:cs="Arial"/>
          <w:sz w:val="24"/>
          <w:lang w:bidi="fr-CA"/>
        </w:rPr>
        <w:t>elle « reconna</w:t>
      </w:r>
      <w:r w:rsidR="00DE3A58" w:rsidRPr="00986EB0">
        <w:rPr>
          <w:rFonts w:ascii="Arial" w:eastAsia="Gadugi" w:hAnsi="Arial" w:cs="Arial"/>
          <w:sz w:val="24"/>
          <w:lang w:bidi="fr-CA"/>
        </w:rPr>
        <w:t>i</w:t>
      </w:r>
      <w:r w:rsidRPr="00986EB0">
        <w:rPr>
          <w:rFonts w:ascii="Arial" w:eastAsia="Gadugi" w:hAnsi="Arial" w:cs="Arial"/>
          <w:sz w:val="24"/>
          <w:lang w:bidi="fr-CA"/>
        </w:rPr>
        <w:t>t la nécessité d</w:t>
      </w:r>
      <w:r w:rsidR="00DE3A58" w:rsidRPr="00986EB0">
        <w:rPr>
          <w:rFonts w:ascii="Arial" w:eastAsia="Gadugi" w:hAnsi="Arial" w:cs="Arial"/>
          <w:sz w:val="24"/>
          <w:lang w:bidi="fr-CA"/>
        </w:rPr>
        <w:t>’</w:t>
      </w:r>
      <w:r w:rsidRPr="00986EB0">
        <w:rPr>
          <w:rFonts w:ascii="Arial" w:eastAsia="Gadugi" w:hAnsi="Arial" w:cs="Arial"/>
          <w:sz w:val="24"/>
          <w:lang w:bidi="fr-CA"/>
        </w:rPr>
        <w:t>une approche à long terme qui priorise et maximise les avantages du passage à l</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et de la diminution de la dépendance de la SÉQ au carburant di</w:t>
      </w:r>
      <w:r w:rsidR="00DE3A58" w:rsidRPr="00986EB0">
        <w:rPr>
          <w:rFonts w:ascii="Arial" w:eastAsia="Gadugi" w:hAnsi="Arial" w:cs="Arial"/>
          <w:sz w:val="24"/>
          <w:lang w:bidi="fr-CA"/>
        </w:rPr>
        <w:t>é</w:t>
      </w:r>
      <w:r w:rsidRPr="00986EB0">
        <w:rPr>
          <w:rFonts w:ascii="Arial" w:eastAsia="Gadugi" w:hAnsi="Arial" w:cs="Arial"/>
          <w:sz w:val="24"/>
          <w:lang w:bidi="fr-CA"/>
        </w:rPr>
        <w:t>sel, tout en continuant à fournir une électricité s</w:t>
      </w:r>
      <w:r w:rsidR="00DE3A58" w:rsidRPr="00986EB0">
        <w:rPr>
          <w:rFonts w:ascii="Arial" w:eastAsia="Gadugi" w:hAnsi="Arial" w:cs="Arial"/>
          <w:sz w:val="24"/>
          <w:lang w:bidi="fr-CA"/>
        </w:rPr>
        <w:t>u</w:t>
      </w:r>
      <w:r w:rsidRPr="00986EB0">
        <w:rPr>
          <w:rFonts w:ascii="Arial" w:eastAsia="Gadugi" w:hAnsi="Arial" w:cs="Arial"/>
          <w:sz w:val="24"/>
          <w:lang w:bidi="fr-CA"/>
        </w:rPr>
        <w:t>re, fiable et abordable ». La SÉQ a fait valoir que le programme PÉCI répond à cet objectif.</w:t>
      </w:r>
    </w:p>
    <w:p w14:paraId="524A46BC" w14:textId="26E94F03"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a demandé des éclaircissements sur la politique ou sur les objectifs que la SÉQ proposait d</w:t>
      </w:r>
      <w:r w:rsidR="00DE3A58" w:rsidRPr="00986EB0">
        <w:rPr>
          <w:rFonts w:ascii="Arial" w:eastAsia="Gadugi" w:hAnsi="Arial" w:cs="Arial"/>
          <w:sz w:val="24"/>
          <w:lang w:bidi="fr-CA"/>
        </w:rPr>
        <w:t>’</w:t>
      </w:r>
      <w:r w:rsidRPr="00986EB0">
        <w:rPr>
          <w:rFonts w:ascii="Arial" w:eastAsia="Gadugi" w:hAnsi="Arial" w:cs="Arial"/>
          <w:sz w:val="24"/>
          <w:lang w:bidi="fr-CA"/>
        </w:rPr>
        <w:t xml:space="preserve">atteindre par la demande PÉCI. Le CETES fait remarquer que la </w:t>
      </w:r>
      <w:r w:rsidRPr="00986EB0">
        <w:rPr>
          <w:rFonts w:ascii="Arial" w:eastAsia="Gadugi" w:hAnsi="Arial" w:cs="Arial"/>
          <w:i/>
          <w:sz w:val="24"/>
          <w:lang w:bidi="fr-CA"/>
        </w:rPr>
        <w:t>Loi sur la Société d</w:t>
      </w:r>
      <w:r w:rsidR="00DE3A58" w:rsidRPr="00986EB0">
        <w:rPr>
          <w:rFonts w:ascii="Arial" w:eastAsia="Gadugi" w:hAnsi="Arial" w:cs="Arial"/>
          <w:i/>
          <w:sz w:val="24"/>
          <w:lang w:bidi="fr-CA"/>
        </w:rPr>
        <w:t>’</w:t>
      </w:r>
      <w:r w:rsidRPr="00986EB0">
        <w:rPr>
          <w:rFonts w:ascii="Arial" w:eastAsia="Gadugi" w:hAnsi="Arial" w:cs="Arial"/>
          <w:i/>
          <w:sz w:val="24"/>
          <w:lang w:bidi="fr-CA"/>
        </w:rPr>
        <w:t>énergie Qulliq</w:t>
      </w:r>
      <w:r w:rsidRPr="00986EB0">
        <w:rPr>
          <w:rFonts w:ascii="Arial" w:eastAsia="Gadugi" w:hAnsi="Arial" w:cs="Arial"/>
          <w:sz w:val="24"/>
          <w:lang w:bidi="fr-CA"/>
        </w:rPr>
        <w:t xml:space="preserve"> a été révisée en 2018 pour permettre à la SÉQ d</w:t>
      </w:r>
      <w:r w:rsidR="00DE3A58" w:rsidRPr="00986EB0">
        <w:rPr>
          <w:rFonts w:ascii="Arial" w:eastAsia="Gadugi" w:hAnsi="Arial" w:cs="Arial"/>
          <w:sz w:val="24"/>
          <w:lang w:bidi="fr-CA"/>
        </w:rPr>
        <w:t>’</w:t>
      </w:r>
      <w:r w:rsidRPr="00986EB0">
        <w:rPr>
          <w:rFonts w:ascii="Arial" w:eastAsia="Gadugi" w:hAnsi="Arial" w:cs="Arial"/>
          <w:sz w:val="24"/>
          <w:lang w:bidi="fr-CA"/>
        </w:rPr>
        <w:t>acheter de l</w:t>
      </w:r>
      <w:r w:rsidR="00DE3A58" w:rsidRPr="00986EB0">
        <w:rPr>
          <w:rFonts w:ascii="Arial" w:eastAsia="Gadugi" w:hAnsi="Arial" w:cs="Arial"/>
          <w:sz w:val="24"/>
          <w:lang w:bidi="fr-CA"/>
        </w:rPr>
        <w:t>’</w:t>
      </w:r>
      <w:r w:rsidRPr="00986EB0">
        <w:rPr>
          <w:rFonts w:ascii="Arial" w:eastAsia="Gadugi" w:hAnsi="Arial" w:cs="Arial"/>
          <w:sz w:val="24"/>
          <w:lang w:bidi="fr-CA"/>
        </w:rPr>
        <w:t xml:space="preserve">électricité. Le CETES prend également note des observations de la SÉQ et du Secrétariat du changement climatique selon lesquelles le GN (dans son document de mandat </w:t>
      </w:r>
      <w:proofErr w:type="spellStart"/>
      <w:r w:rsidRPr="00986EB0">
        <w:rPr>
          <w:rFonts w:ascii="Arial" w:eastAsia="Gadugi" w:hAnsi="Arial" w:cs="Arial"/>
          <w:i/>
          <w:sz w:val="24"/>
          <w:lang w:bidi="fr-CA"/>
        </w:rPr>
        <w:t>Turaaqtavut</w:t>
      </w:r>
      <w:proofErr w:type="spellEnd"/>
      <w:r w:rsidRPr="00986EB0">
        <w:rPr>
          <w:rFonts w:ascii="Arial" w:eastAsia="Gadugi" w:hAnsi="Arial" w:cs="Arial"/>
          <w:sz w:val="24"/>
          <w:lang w:bidi="fr-CA"/>
        </w:rPr>
        <w:t>) s</w:t>
      </w:r>
      <w:r w:rsidR="00DE3A58" w:rsidRPr="00986EB0">
        <w:rPr>
          <w:rFonts w:ascii="Arial" w:eastAsia="Gadugi" w:hAnsi="Arial" w:cs="Arial"/>
          <w:sz w:val="24"/>
          <w:lang w:bidi="fr-CA"/>
        </w:rPr>
        <w:t>’</w:t>
      </w:r>
      <w:r w:rsidRPr="00986EB0">
        <w:rPr>
          <w:rFonts w:ascii="Arial" w:eastAsia="Gadugi" w:hAnsi="Arial" w:cs="Arial"/>
          <w:sz w:val="24"/>
          <w:lang w:bidi="fr-CA"/>
        </w:rPr>
        <w:t>est engagé à réduire les émissions de GES au Nunavut.</w:t>
      </w:r>
    </w:p>
    <w:p w14:paraId="06888779" w14:textId="5A1D4EAD"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La SÉQ a soutenu que le programme PÉCI n</w:t>
      </w:r>
      <w:r w:rsidR="00DE3A58" w:rsidRPr="00986EB0">
        <w:rPr>
          <w:rFonts w:ascii="Arial" w:eastAsia="Gadugi" w:hAnsi="Arial" w:cs="Arial"/>
          <w:sz w:val="24"/>
          <w:lang w:bidi="fr-CA"/>
        </w:rPr>
        <w:t>’</w:t>
      </w:r>
      <w:r w:rsidRPr="00986EB0">
        <w:rPr>
          <w:rFonts w:ascii="Arial" w:eastAsia="Gadugi" w:hAnsi="Arial" w:cs="Arial"/>
          <w:sz w:val="24"/>
          <w:lang w:bidi="fr-CA"/>
        </w:rPr>
        <w:t>entra</w:t>
      </w:r>
      <w:r w:rsidR="00DE3A58" w:rsidRPr="00986EB0">
        <w:rPr>
          <w:rFonts w:ascii="Arial" w:eastAsia="Gadugi" w:hAnsi="Arial" w:cs="Arial"/>
          <w:sz w:val="24"/>
          <w:lang w:bidi="fr-CA"/>
        </w:rPr>
        <w:t>i</w:t>
      </w:r>
      <w:r w:rsidRPr="00986EB0">
        <w:rPr>
          <w:rFonts w:ascii="Arial" w:eastAsia="Gadugi" w:hAnsi="Arial" w:cs="Arial"/>
          <w:sz w:val="24"/>
          <w:lang w:bidi="fr-CA"/>
        </w:rPr>
        <w:t>nera pas d</w:t>
      </w:r>
      <w:r w:rsidR="00DE3A58" w:rsidRPr="00986EB0">
        <w:rPr>
          <w:rFonts w:ascii="Arial" w:eastAsia="Gadugi" w:hAnsi="Arial" w:cs="Arial"/>
          <w:sz w:val="24"/>
          <w:lang w:bidi="fr-CA"/>
        </w:rPr>
        <w:t>’</w:t>
      </w:r>
      <w:r w:rsidRPr="00986EB0">
        <w:rPr>
          <w:rFonts w:ascii="Arial" w:eastAsia="Gadugi" w:hAnsi="Arial" w:cs="Arial"/>
          <w:sz w:val="24"/>
          <w:lang w:bidi="fr-CA"/>
        </w:rPr>
        <w:t>augmentation des co</w:t>
      </w:r>
      <w:r w:rsidR="00DE3A58" w:rsidRPr="00986EB0">
        <w:rPr>
          <w:rFonts w:ascii="Arial" w:eastAsia="Gadugi" w:hAnsi="Arial" w:cs="Arial"/>
          <w:sz w:val="24"/>
          <w:lang w:bidi="fr-CA"/>
        </w:rPr>
        <w:t>u</w:t>
      </w:r>
      <w:r w:rsidRPr="00986EB0">
        <w:rPr>
          <w:rFonts w:ascii="Arial" w:eastAsia="Gadugi" w:hAnsi="Arial" w:cs="Arial"/>
          <w:sz w:val="24"/>
          <w:lang w:bidi="fr-CA"/>
        </w:rPr>
        <w:t>ts pour les clients et ne nuira pas à la fiabilité du service. Certaines soumissions du public correspondent à l</w:t>
      </w:r>
      <w:r w:rsidR="00DE3A58" w:rsidRPr="00986EB0">
        <w:rPr>
          <w:rFonts w:ascii="Arial" w:eastAsia="Gadugi" w:hAnsi="Arial" w:cs="Arial"/>
          <w:sz w:val="24"/>
          <w:lang w:bidi="fr-CA"/>
        </w:rPr>
        <w:t>’</w:t>
      </w:r>
      <w:r w:rsidRPr="00986EB0">
        <w:rPr>
          <w:rFonts w:ascii="Arial" w:eastAsia="Gadugi" w:hAnsi="Arial" w:cs="Arial"/>
          <w:sz w:val="24"/>
          <w:lang w:bidi="fr-CA"/>
        </w:rPr>
        <w:t xml:space="preserve">objectif et aux </w:t>
      </w:r>
      <w:proofErr w:type="spellStart"/>
      <w:r w:rsidRPr="00986EB0">
        <w:rPr>
          <w:rFonts w:ascii="Arial" w:eastAsia="Gadugi" w:hAnsi="Arial" w:cs="Arial"/>
          <w:sz w:val="24"/>
          <w:lang w:bidi="fr-CA"/>
        </w:rPr>
        <w:t>prémisses</w:t>
      </w:r>
      <w:proofErr w:type="spellEnd"/>
      <w:r w:rsidRPr="00986EB0">
        <w:rPr>
          <w:rFonts w:ascii="Arial" w:eastAsia="Gadugi" w:hAnsi="Arial" w:cs="Arial"/>
          <w:sz w:val="24"/>
          <w:lang w:bidi="fr-CA"/>
        </w:rPr>
        <w:t xml:space="preserve"> du programme de la SÉQ, mais d</w:t>
      </w:r>
      <w:r w:rsidR="00DE3A58" w:rsidRPr="00986EB0">
        <w:rPr>
          <w:rFonts w:ascii="Arial" w:eastAsia="Gadugi" w:hAnsi="Arial" w:cs="Arial"/>
          <w:sz w:val="24"/>
          <w:lang w:bidi="fr-CA"/>
        </w:rPr>
        <w:t>’</w:t>
      </w:r>
      <w:r w:rsidRPr="00986EB0">
        <w:rPr>
          <w:rFonts w:ascii="Arial" w:eastAsia="Gadugi" w:hAnsi="Arial" w:cs="Arial"/>
          <w:sz w:val="24"/>
          <w:lang w:bidi="fr-CA"/>
        </w:rPr>
        <w:t>autres ne sont pas d</w:t>
      </w:r>
      <w:r w:rsidR="00DE3A58" w:rsidRPr="00986EB0">
        <w:rPr>
          <w:rFonts w:ascii="Arial" w:eastAsia="Gadugi" w:hAnsi="Arial" w:cs="Arial"/>
          <w:sz w:val="24"/>
          <w:lang w:bidi="fr-CA"/>
        </w:rPr>
        <w:t>’</w:t>
      </w:r>
      <w:r w:rsidRPr="00986EB0">
        <w:rPr>
          <w:rFonts w:ascii="Arial" w:eastAsia="Gadugi" w:hAnsi="Arial" w:cs="Arial"/>
          <w:sz w:val="24"/>
          <w:lang w:bidi="fr-CA"/>
        </w:rPr>
        <w:t>accord avec le fait que les augmentations de co</w:t>
      </w:r>
      <w:r w:rsidR="00DE3A58" w:rsidRPr="00986EB0">
        <w:rPr>
          <w:rFonts w:ascii="Arial" w:eastAsia="Gadugi" w:hAnsi="Arial" w:cs="Arial"/>
          <w:sz w:val="24"/>
          <w:lang w:bidi="fr-CA"/>
        </w:rPr>
        <w:t>u</w:t>
      </w:r>
      <w:r w:rsidRPr="00986EB0">
        <w:rPr>
          <w:rFonts w:ascii="Arial" w:eastAsia="Gadugi" w:hAnsi="Arial" w:cs="Arial"/>
          <w:sz w:val="24"/>
          <w:lang w:bidi="fr-CA"/>
        </w:rPr>
        <w:t>ts doivent être évitées.</w:t>
      </w:r>
    </w:p>
    <w:p w14:paraId="3EC1D305" w14:textId="7F39B9AF"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fait observer que la SÉQ a soutenu le fait que le programme PÉCI ne donnera pas lieu à une augmentation des tarifs pour les clients. Aucun personnel ni aucune ressource humaine supplémentaire ne sera nécessaire pour mettre en œuvre, administrer et assurer le déroulement du programme PÉCI. La SÉQ a également fait valoir que le promoteur PÉCI prendra en charge les éventuels investissements supplémentaires en équipement, en mises à niveau ou en intégration dans le système de la SÉQ. Le CETES convient que cette démarche est conforme à l</w:t>
      </w:r>
      <w:r w:rsidR="00DE3A58" w:rsidRPr="00986EB0">
        <w:rPr>
          <w:rFonts w:ascii="Arial" w:eastAsia="Gadugi" w:hAnsi="Arial" w:cs="Arial"/>
          <w:sz w:val="24"/>
          <w:lang w:bidi="fr-CA"/>
        </w:rPr>
        <w:t>’</w:t>
      </w:r>
      <w:r w:rsidRPr="00986EB0">
        <w:rPr>
          <w:rFonts w:ascii="Arial" w:eastAsia="Gadugi" w:hAnsi="Arial" w:cs="Arial"/>
          <w:sz w:val="24"/>
          <w:lang w:bidi="fr-CA"/>
        </w:rPr>
        <w:t>approche adoptée par la SÉQ, selon laquelle le co</w:t>
      </w:r>
      <w:r w:rsidR="00DE3A58" w:rsidRPr="00986EB0">
        <w:rPr>
          <w:rFonts w:ascii="Arial" w:eastAsia="Gadugi" w:hAnsi="Arial" w:cs="Arial"/>
          <w:sz w:val="24"/>
          <w:lang w:bidi="fr-CA"/>
        </w:rPr>
        <w:t>u</w:t>
      </w:r>
      <w:r w:rsidRPr="00986EB0">
        <w:rPr>
          <w:rFonts w:ascii="Arial" w:eastAsia="Gadugi" w:hAnsi="Arial" w:cs="Arial"/>
          <w:sz w:val="24"/>
          <w:lang w:bidi="fr-CA"/>
        </w:rPr>
        <w:t>t de l</w:t>
      </w:r>
      <w:r w:rsidR="00DE3A58" w:rsidRPr="00986EB0">
        <w:rPr>
          <w:rFonts w:ascii="Arial" w:eastAsia="Gadugi" w:hAnsi="Arial" w:cs="Arial"/>
          <w:sz w:val="24"/>
          <w:lang w:bidi="fr-CA"/>
        </w:rPr>
        <w:t>’</w:t>
      </w:r>
      <w:r w:rsidRPr="00986EB0">
        <w:rPr>
          <w:rFonts w:ascii="Arial" w:eastAsia="Gadugi" w:hAnsi="Arial" w:cs="Arial"/>
          <w:sz w:val="24"/>
          <w:lang w:bidi="fr-CA"/>
        </w:rPr>
        <w:t>introduction de l</w:t>
      </w:r>
      <w:r w:rsidR="00DE3A58" w:rsidRPr="00986EB0">
        <w:rPr>
          <w:rFonts w:ascii="Arial" w:eastAsia="Gadugi" w:hAnsi="Arial" w:cs="Arial"/>
          <w:sz w:val="24"/>
          <w:lang w:bidi="fr-CA"/>
        </w:rPr>
        <w:t>’</w:t>
      </w:r>
      <w:r w:rsidRPr="00986EB0">
        <w:rPr>
          <w:rFonts w:ascii="Arial" w:eastAsia="Gadugi" w:hAnsi="Arial" w:cs="Arial"/>
          <w:sz w:val="24"/>
          <w:lang w:bidi="fr-CA"/>
        </w:rPr>
        <w:t xml:space="preserve">énergie renouvelable dans les </w:t>
      </w:r>
      <w:r w:rsidRPr="00986EB0">
        <w:rPr>
          <w:rFonts w:ascii="Arial" w:eastAsia="Gadugi" w:hAnsi="Arial" w:cs="Arial"/>
          <w:sz w:val="24"/>
          <w:lang w:bidi="fr-CA"/>
        </w:rPr>
        <w:lastRenderedPageBreak/>
        <w:t>collectivités du Nunavut ne devrait pas se répercuter sur les clients de la SÉQ, lesquels paient déjà des tarifs d</w:t>
      </w:r>
      <w:r w:rsidR="00DE3A58" w:rsidRPr="00986EB0">
        <w:rPr>
          <w:rFonts w:ascii="Arial" w:eastAsia="Gadugi" w:hAnsi="Arial" w:cs="Arial"/>
          <w:sz w:val="24"/>
          <w:lang w:bidi="fr-CA"/>
        </w:rPr>
        <w:t>’</w:t>
      </w:r>
      <w:r w:rsidRPr="00986EB0">
        <w:rPr>
          <w:rFonts w:ascii="Arial" w:eastAsia="Gadugi" w:hAnsi="Arial" w:cs="Arial"/>
          <w:sz w:val="24"/>
          <w:lang w:bidi="fr-CA"/>
        </w:rPr>
        <w:t>électricité parmi les plus élevés au Canada.</w:t>
      </w:r>
    </w:p>
    <w:p w14:paraId="2CC94B26" w14:textId="5F082B6F"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a demandé à la SÉQ d</w:t>
      </w:r>
      <w:r w:rsidR="00DE3A58" w:rsidRPr="00986EB0">
        <w:rPr>
          <w:rFonts w:ascii="Arial" w:eastAsia="Gadugi" w:hAnsi="Arial" w:cs="Arial"/>
          <w:sz w:val="24"/>
          <w:lang w:bidi="fr-CA"/>
        </w:rPr>
        <w:t>’</w:t>
      </w:r>
      <w:r w:rsidRPr="00986EB0">
        <w:rPr>
          <w:rFonts w:ascii="Arial" w:eastAsia="Gadugi" w:hAnsi="Arial" w:cs="Arial"/>
          <w:sz w:val="24"/>
          <w:lang w:bidi="fr-CA"/>
        </w:rPr>
        <w:t>examiner les pratiques d</w:t>
      </w:r>
      <w:r w:rsidR="00DE3A58" w:rsidRPr="00986EB0">
        <w:rPr>
          <w:rFonts w:ascii="Arial" w:eastAsia="Gadugi" w:hAnsi="Arial" w:cs="Arial"/>
          <w:sz w:val="24"/>
          <w:lang w:bidi="fr-CA"/>
        </w:rPr>
        <w:t>’</w:t>
      </w:r>
      <w:r w:rsidRPr="00986EB0">
        <w:rPr>
          <w:rFonts w:ascii="Arial" w:eastAsia="Gadugi" w:hAnsi="Arial" w:cs="Arial"/>
          <w:sz w:val="24"/>
          <w:lang w:bidi="fr-CA"/>
        </w:rPr>
        <w:t>options de tarification du programme des producteurs d</w:t>
      </w:r>
      <w:r w:rsidR="00DE3A58" w:rsidRPr="00986EB0">
        <w:rPr>
          <w:rFonts w:ascii="Arial" w:eastAsia="Gadugi" w:hAnsi="Arial" w:cs="Arial"/>
          <w:sz w:val="24"/>
          <w:lang w:bidi="fr-CA"/>
        </w:rPr>
        <w:t>’</w:t>
      </w:r>
      <w:r w:rsidRPr="00986EB0">
        <w:rPr>
          <w:rFonts w:ascii="Arial" w:eastAsia="Gadugi" w:hAnsi="Arial" w:cs="Arial"/>
          <w:sz w:val="24"/>
          <w:lang w:bidi="fr-CA"/>
        </w:rPr>
        <w:t>électricité indépendants (PÉI) dans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canadiennes. Il ressort clairement de la demande de la SÉQ et des soumissions publiques qu</w:t>
      </w:r>
      <w:r w:rsidR="00DE3A58" w:rsidRPr="00986EB0">
        <w:rPr>
          <w:rFonts w:ascii="Arial" w:eastAsia="Gadugi" w:hAnsi="Arial" w:cs="Arial"/>
          <w:sz w:val="24"/>
          <w:lang w:bidi="fr-CA"/>
        </w:rPr>
        <w:t>’</w:t>
      </w: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y a pas de consensus sur la manière d</w:t>
      </w:r>
      <w:r w:rsidR="00DE3A58" w:rsidRPr="00986EB0">
        <w:rPr>
          <w:rFonts w:ascii="Arial" w:eastAsia="Gadugi" w:hAnsi="Arial" w:cs="Arial"/>
          <w:sz w:val="24"/>
          <w:lang w:bidi="fr-CA"/>
        </w:rPr>
        <w:t>’</w:t>
      </w:r>
      <w:r w:rsidRPr="00986EB0">
        <w:rPr>
          <w:rFonts w:ascii="Arial" w:eastAsia="Gadugi" w:hAnsi="Arial" w:cs="Arial"/>
          <w:sz w:val="24"/>
          <w:lang w:bidi="fr-CA"/>
        </w:rPr>
        <w:t>introduire et de fournir des mesures incitatives pour le développement d</w:t>
      </w:r>
      <w:r w:rsidR="00DE3A58" w:rsidRPr="00986EB0">
        <w:rPr>
          <w:rFonts w:ascii="Arial" w:eastAsia="Gadugi" w:hAnsi="Arial" w:cs="Arial"/>
          <w:sz w:val="24"/>
          <w:lang w:bidi="fr-CA"/>
        </w:rPr>
        <w:t>’</w:t>
      </w:r>
      <w:r w:rsidRPr="00986EB0">
        <w:rPr>
          <w:rFonts w:ascii="Arial" w:eastAsia="Gadugi" w:hAnsi="Arial" w:cs="Arial"/>
          <w:sz w:val="24"/>
          <w:lang w:bidi="fr-CA"/>
        </w:rPr>
        <w:t>énergies renouvelables. Il est aussi apparu clairement qu</w:t>
      </w:r>
      <w:r w:rsidR="00DE3A58" w:rsidRPr="00986EB0">
        <w:rPr>
          <w:rFonts w:ascii="Arial" w:eastAsia="Gadugi" w:hAnsi="Arial" w:cs="Arial"/>
          <w:sz w:val="24"/>
          <w:lang w:bidi="fr-CA"/>
        </w:rPr>
        <w:t>’</w:t>
      </w:r>
      <w:r w:rsidRPr="00986EB0">
        <w:rPr>
          <w:rFonts w:ascii="Arial" w:eastAsia="Gadugi" w:hAnsi="Arial" w:cs="Arial"/>
          <w:sz w:val="24"/>
          <w:lang w:bidi="fr-CA"/>
        </w:rPr>
        <w:t>il existe des différences importantes entre les territoires de service, les systèmes et les lois/politiques/programmes à travers le Canada et que, bien que le Nunavut puisse s</w:t>
      </w:r>
      <w:r w:rsidR="00DE3A58" w:rsidRPr="00986EB0">
        <w:rPr>
          <w:rFonts w:ascii="Arial" w:eastAsia="Gadugi" w:hAnsi="Arial" w:cs="Arial"/>
          <w:sz w:val="24"/>
          <w:lang w:bidi="fr-CA"/>
        </w:rPr>
        <w:t>’</w:t>
      </w:r>
      <w:r w:rsidRPr="00986EB0">
        <w:rPr>
          <w:rFonts w:ascii="Arial" w:eastAsia="Gadugi" w:hAnsi="Arial" w:cs="Arial"/>
          <w:sz w:val="24"/>
          <w:lang w:bidi="fr-CA"/>
        </w:rPr>
        <w:t>inspirer de l</w:t>
      </w:r>
      <w:r w:rsidR="00DE3A58" w:rsidRPr="00986EB0">
        <w:rPr>
          <w:rFonts w:ascii="Arial" w:eastAsia="Gadugi" w:hAnsi="Arial" w:cs="Arial"/>
          <w:sz w:val="24"/>
          <w:lang w:bidi="fr-CA"/>
        </w:rPr>
        <w:t>’</w:t>
      </w:r>
      <w:r w:rsidRPr="00986EB0">
        <w:rPr>
          <w:rFonts w:ascii="Arial" w:eastAsia="Gadugi" w:hAnsi="Arial" w:cs="Arial"/>
          <w:sz w:val="24"/>
          <w:lang w:bidi="fr-CA"/>
        </w:rPr>
        <w:t>approche adoptée dans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le Nunavut et la SÉQ devraient élaborer leur propre programme. Constatant le peu de renseignements fournis dans la demande PÉCI, le CETES a cherché à les compléter au moyen des DI. La SÉQ a fourni des réponses utiles, mais le CETES constate qu</w:t>
      </w:r>
      <w:r w:rsidR="00DE3A58" w:rsidRPr="00986EB0">
        <w:rPr>
          <w:rFonts w:ascii="Arial" w:eastAsia="Gadugi" w:hAnsi="Arial" w:cs="Arial"/>
          <w:sz w:val="24"/>
          <w:lang w:bidi="fr-CA"/>
        </w:rPr>
        <w:t>’</w:t>
      </w:r>
      <w:r w:rsidRPr="00986EB0">
        <w:rPr>
          <w:rFonts w:ascii="Arial" w:eastAsia="Gadugi" w:hAnsi="Arial" w:cs="Arial"/>
          <w:sz w:val="24"/>
          <w:lang w:bidi="fr-CA"/>
        </w:rPr>
        <w:t>à l</w:t>
      </w:r>
      <w:r w:rsidR="00DE3A58" w:rsidRPr="00986EB0">
        <w:rPr>
          <w:rFonts w:ascii="Arial" w:eastAsia="Gadugi" w:hAnsi="Arial" w:cs="Arial"/>
          <w:sz w:val="24"/>
          <w:lang w:bidi="fr-CA"/>
        </w:rPr>
        <w:t>’</w:t>
      </w:r>
      <w:r w:rsidRPr="00986EB0">
        <w:rPr>
          <w:rFonts w:ascii="Arial" w:eastAsia="Gadugi" w:hAnsi="Arial" w:cs="Arial"/>
          <w:sz w:val="24"/>
          <w:lang w:bidi="fr-CA"/>
        </w:rPr>
        <w:t>exception de la structure tarifaire du PÉCI, une grande partie du programme PÉCI semble être en cours de conception et n</w:t>
      </w:r>
      <w:r w:rsidR="00DE3A58" w:rsidRPr="00986EB0">
        <w:rPr>
          <w:rFonts w:ascii="Arial" w:eastAsia="Gadugi" w:hAnsi="Arial" w:cs="Arial"/>
          <w:sz w:val="24"/>
          <w:lang w:bidi="fr-CA"/>
        </w:rPr>
        <w:t>’</w:t>
      </w:r>
      <w:r w:rsidRPr="00986EB0">
        <w:rPr>
          <w:rFonts w:ascii="Arial" w:eastAsia="Gadugi" w:hAnsi="Arial" w:cs="Arial"/>
          <w:sz w:val="24"/>
          <w:lang w:bidi="fr-CA"/>
        </w:rPr>
        <w:t>est pas encore achevé.</w:t>
      </w:r>
    </w:p>
    <w:p w14:paraId="4154AC99" w14:textId="6CCD1354"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De manière générale, le CETES est d</w:t>
      </w:r>
      <w:r w:rsidR="00DE3A58" w:rsidRPr="00986EB0">
        <w:rPr>
          <w:rFonts w:ascii="Arial" w:eastAsia="Gadugi" w:hAnsi="Arial" w:cs="Arial"/>
          <w:sz w:val="24"/>
          <w:lang w:bidi="fr-CA"/>
        </w:rPr>
        <w:t>’</w:t>
      </w:r>
      <w:r w:rsidRPr="00986EB0">
        <w:rPr>
          <w:rFonts w:ascii="Arial" w:eastAsia="Gadugi" w:hAnsi="Arial" w:cs="Arial"/>
          <w:sz w:val="24"/>
          <w:lang w:bidi="fr-CA"/>
        </w:rPr>
        <w:t>accord avec la prémisse selon laquelle la SÉQ devrait permettre l</w:t>
      </w:r>
      <w:r w:rsidR="00DE3A58" w:rsidRPr="00986EB0">
        <w:rPr>
          <w:rFonts w:ascii="Arial" w:eastAsia="Gadugi" w:hAnsi="Arial" w:cs="Arial"/>
          <w:sz w:val="24"/>
          <w:lang w:bidi="fr-CA"/>
        </w:rPr>
        <w:t>’</w:t>
      </w:r>
      <w:r w:rsidRPr="00986EB0">
        <w:rPr>
          <w:rFonts w:ascii="Arial" w:eastAsia="Gadugi" w:hAnsi="Arial" w:cs="Arial"/>
          <w:sz w:val="24"/>
          <w:lang w:bidi="fr-CA"/>
        </w:rPr>
        <w:t>ajout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à son système sans qu</w:t>
      </w:r>
      <w:r w:rsidR="00DE3A58" w:rsidRPr="00986EB0">
        <w:rPr>
          <w:rFonts w:ascii="Arial" w:eastAsia="Gadugi" w:hAnsi="Arial" w:cs="Arial"/>
          <w:sz w:val="24"/>
          <w:lang w:bidi="fr-CA"/>
        </w:rPr>
        <w:t>’</w:t>
      </w:r>
      <w:r w:rsidRPr="00986EB0">
        <w:rPr>
          <w:rFonts w:ascii="Arial" w:eastAsia="Gadugi" w:hAnsi="Arial" w:cs="Arial"/>
          <w:sz w:val="24"/>
          <w:lang w:bidi="fr-CA"/>
        </w:rPr>
        <w:t>elle n</w:t>
      </w:r>
      <w:r w:rsidR="00DE3A58" w:rsidRPr="00986EB0">
        <w:rPr>
          <w:rFonts w:ascii="Arial" w:eastAsia="Gadugi" w:hAnsi="Arial" w:cs="Arial"/>
          <w:sz w:val="24"/>
          <w:lang w:bidi="fr-CA"/>
        </w:rPr>
        <w:t>’</w:t>
      </w:r>
      <w:r w:rsidRPr="00986EB0">
        <w:rPr>
          <w:rFonts w:ascii="Arial" w:eastAsia="Gadugi" w:hAnsi="Arial" w:cs="Arial"/>
          <w:sz w:val="24"/>
          <w:lang w:bidi="fr-CA"/>
        </w:rPr>
        <w:t>augmente les co</w:t>
      </w:r>
      <w:r w:rsidR="00DE3A58" w:rsidRPr="00986EB0">
        <w:rPr>
          <w:rFonts w:ascii="Arial" w:eastAsia="Gadugi" w:hAnsi="Arial" w:cs="Arial"/>
          <w:sz w:val="24"/>
          <w:lang w:bidi="fr-CA"/>
        </w:rPr>
        <w:t>u</w:t>
      </w:r>
      <w:r w:rsidRPr="00986EB0">
        <w:rPr>
          <w:rFonts w:ascii="Arial" w:eastAsia="Gadugi" w:hAnsi="Arial" w:cs="Arial"/>
          <w:sz w:val="24"/>
          <w:lang w:bidi="fr-CA"/>
        </w:rPr>
        <w:t>ts/tarifs de ses autres clients. Le CETES va à présent continuer son évaluation pour déterminer si la demande PÉCI satisfait ou non à cette prémisse et est suffisamment complète pour être approuvée telle que proposée.</w:t>
      </w:r>
    </w:p>
    <w:p w14:paraId="686E4179" w14:textId="77777777" w:rsidR="003D56E8" w:rsidRPr="00986EB0" w:rsidRDefault="003D56E8" w:rsidP="008125BE">
      <w:pPr>
        <w:pBdr>
          <w:top w:val="nil"/>
          <w:left w:val="nil"/>
          <w:bottom w:val="nil"/>
          <w:right w:val="nil"/>
          <w:between w:val="nil"/>
        </w:pBdr>
        <w:tabs>
          <w:tab w:val="left" w:pos="885"/>
        </w:tabs>
        <w:ind w:left="878" w:right="115"/>
        <w:jc w:val="both"/>
        <w:rPr>
          <w:rFonts w:ascii="Arial" w:hAnsi="Arial" w:cs="Arial"/>
          <w:color w:val="000000"/>
          <w:sz w:val="24"/>
          <w:szCs w:val="24"/>
        </w:rPr>
      </w:pPr>
    </w:p>
    <w:p w14:paraId="68D29B44" w14:textId="77777777" w:rsidR="003D56E8" w:rsidRPr="00986EB0" w:rsidRDefault="00AA767F" w:rsidP="00FD4CC3">
      <w:pPr>
        <w:pStyle w:val="URRCHeading2"/>
        <w:rPr>
          <w:rFonts w:ascii="Arial" w:hAnsi="Arial" w:cs="Arial"/>
        </w:rPr>
      </w:pPr>
      <w:r w:rsidRPr="00986EB0">
        <w:rPr>
          <w:rFonts w:ascii="Arial" w:eastAsia="Gadugi" w:hAnsi="Arial" w:cs="Arial"/>
          <w:lang w:bidi="fr-CA"/>
        </w:rPr>
        <w:t>STRUCTURE TARIFAIRE DU PÉCI</w:t>
      </w:r>
    </w:p>
    <w:p w14:paraId="729B7783" w14:textId="77777777" w:rsidR="003D56E8" w:rsidRPr="00986EB0" w:rsidRDefault="003D56E8">
      <w:pPr>
        <w:pBdr>
          <w:top w:val="nil"/>
          <w:left w:val="nil"/>
          <w:bottom w:val="nil"/>
          <w:right w:val="nil"/>
          <w:between w:val="nil"/>
        </w:pBdr>
        <w:spacing w:before="8"/>
        <w:rPr>
          <w:rFonts w:ascii="Arial" w:hAnsi="Arial" w:cs="Arial"/>
          <w:b/>
          <w:color w:val="000000"/>
          <w:sz w:val="24"/>
          <w:szCs w:val="24"/>
        </w:rPr>
      </w:pPr>
    </w:p>
    <w:p w14:paraId="5144C770" w14:textId="3A88E13A"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constate que la SÉQ n</w:t>
      </w:r>
      <w:r w:rsidR="00DE3A58" w:rsidRPr="00986EB0">
        <w:rPr>
          <w:rFonts w:ascii="Arial" w:eastAsia="Gadugi" w:hAnsi="Arial" w:cs="Arial"/>
          <w:sz w:val="24"/>
          <w:lang w:bidi="fr-CA"/>
        </w:rPr>
        <w:t>’</w:t>
      </w:r>
      <w:r w:rsidRPr="00986EB0">
        <w:rPr>
          <w:rFonts w:ascii="Arial" w:eastAsia="Gadugi" w:hAnsi="Arial" w:cs="Arial"/>
          <w:sz w:val="24"/>
          <w:lang w:bidi="fr-CA"/>
        </w:rPr>
        <w:t>a demandé, pour l</w:t>
      </w:r>
      <w:r w:rsidR="00DE3A58" w:rsidRPr="00986EB0">
        <w:rPr>
          <w:rFonts w:ascii="Arial" w:eastAsia="Gadugi" w:hAnsi="Arial" w:cs="Arial"/>
          <w:sz w:val="24"/>
          <w:lang w:bidi="fr-CA"/>
        </w:rPr>
        <w:t>’</w:t>
      </w:r>
      <w:r w:rsidRPr="00986EB0">
        <w:rPr>
          <w:rFonts w:ascii="Arial" w:eastAsia="Gadugi" w:hAnsi="Arial" w:cs="Arial"/>
          <w:sz w:val="24"/>
          <w:lang w:bidi="fr-CA"/>
        </w:rPr>
        <w:t>instant, que l</w:t>
      </w:r>
      <w:r w:rsidR="00DE3A58" w:rsidRPr="00986EB0">
        <w:rPr>
          <w:rFonts w:ascii="Arial" w:eastAsia="Gadugi" w:hAnsi="Arial" w:cs="Arial"/>
          <w:sz w:val="24"/>
          <w:lang w:bidi="fr-CA"/>
        </w:rPr>
        <w:t>’</w:t>
      </w:r>
      <w:r w:rsidRPr="00986EB0">
        <w:rPr>
          <w:rFonts w:ascii="Arial" w:eastAsia="Gadugi" w:hAnsi="Arial" w:cs="Arial"/>
          <w:sz w:val="24"/>
          <w:lang w:bidi="fr-CA"/>
        </w:rPr>
        <w:t>approbation de sa structure tarifaire Option 3. Le CETES a demandé à la SÉQ de clarifier certains aspects de sa structure tarifaire ainsi que les améliorations ou modifications possibles. Le CETES souligne aussi que toutes les soumissions du public comprenaient des commentaires suggérant des améliorations à la structure tarifaire.</w:t>
      </w:r>
    </w:p>
    <w:p w14:paraId="56A3EE6D" w14:textId="0132139D" w:rsidR="003D56E8" w:rsidRPr="00986EB0"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rFonts w:ascii="Arial" w:hAnsi="Arial" w:cs="Arial"/>
          <w:color w:val="000000"/>
          <w:sz w:val="24"/>
          <w:szCs w:val="24"/>
        </w:rPr>
      </w:pPr>
      <w:r w:rsidRPr="00986EB0">
        <w:rPr>
          <w:rFonts w:ascii="Arial" w:eastAsia="Gadugi" w:hAnsi="Arial" w:cs="Arial"/>
          <w:sz w:val="24"/>
          <w:lang w:bidi="fr-CA"/>
        </w:rPr>
        <w:lastRenderedPageBreak/>
        <w:t>La SÉQ a affirmé que le prix du PÉCI devait être basé uniquement sur le co</w:t>
      </w:r>
      <w:r w:rsidR="00DE3A58" w:rsidRPr="00986EB0">
        <w:rPr>
          <w:rFonts w:ascii="Arial" w:eastAsia="Gadugi" w:hAnsi="Arial" w:cs="Arial"/>
          <w:sz w:val="24"/>
          <w:lang w:bidi="fr-CA"/>
        </w:rPr>
        <w:t>u</w:t>
      </w:r>
      <w:r w:rsidRPr="00986EB0">
        <w:rPr>
          <w:rFonts w:ascii="Arial" w:eastAsia="Gadugi" w:hAnsi="Arial" w:cs="Arial"/>
          <w:sz w:val="24"/>
          <w:lang w:bidi="fr-CA"/>
        </w:rPr>
        <w:t>t évité du combustible nécessaire à la production énergétique. La SÉQ a fait valoir que cette approche était celle utilisée dans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Le CETES fait remarquer que certaines autres juridictions ont intégré le co</w:t>
      </w:r>
      <w:r w:rsidR="00DE3A58" w:rsidRPr="00986EB0">
        <w:rPr>
          <w:rFonts w:ascii="Arial" w:eastAsia="Gadugi" w:hAnsi="Arial" w:cs="Arial"/>
          <w:sz w:val="24"/>
          <w:lang w:bidi="fr-CA"/>
        </w:rPr>
        <w:t>u</w:t>
      </w:r>
      <w:r w:rsidRPr="00986EB0">
        <w:rPr>
          <w:rFonts w:ascii="Arial" w:eastAsia="Gadugi" w:hAnsi="Arial" w:cs="Arial"/>
          <w:sz w:val="24"/>
          <w:lang w:bidi="fr-CA"/>
        </w:rPr>
        <w:t>t évité du carburant dans leurs programmes d</w:t>
      </w:r>
      <w:r w:rsidR="00DE3A58" w:rsidRPr="00986EB0">
        <w:rPr>
          <w:rFonts w:ascii="Arial" w:eastAsia="Gadugi" w:hAnsi="Arial" w:cs="Arial"/>
          <w:sz w:val="24"/>
          <w:lang w:bidi="fr-CA"/>
        </w:rPr>
        <w:t>’</w:t>
      </w:r>
      <w:r w:rsidRPr="00986EB0">
        <w:rPr>
          <w:rFonts w:ascii="Arial" w:eastAsia="Gadugi" w:hAnsi="Arial" w:cs="Arial"/>
          <w:sz w:val="24"/>
          <w:lang w:bidi="fr-CA"/>
        </w:rPr>
        <w:t>énergies renouvelables. L</w:t>
      </w:r>
      <w:r w:rsidR="00DE3A58" w:rsidRPr="00986EB0">
        <w:rPr>
          <w:rFonts w:ascii="Arial" w:eastAsia="Gadugi" w:hAnsi="Arial" w:cs="Arial"/>
          <w:sz w:val="24"/>
          <w:lang w:bidi="fr-CA"/>
        </w:rPr>
        <w:t>’</w:t>
      </w:r>
      <w:r w:rsidRPr="00986EB0">
        <w:rPr>
          <w:rFonts w:ascii="Arial" w:eastAsia="Gadugi" w:hAnsi="Arial" w:cs="Arial"/>
          <w:sz w:val="24"/>
          <w:lang w:bidi="fr-CA"/>
        </w:rPr>
        <w:t>URRC a cherché à mieux comprendre la relation entre l</w:t>
      </w:r>
      <w:r w:rsidR="00DE3A58" w:rsidRPr="00986EB0">
        <w:rPr>
          <w:rFonts w:ascii="Arial" w:eastAsia="Gadugi" w:hAnsi="Arial" w:cs="Arial"/>
          <w:sz w:val="24"/>
          <w:lang w:bidi="fr-CA"/>
        </w:rPr>
        <w:t>’</w:t>
      </w:r>
      <w:r w:rsidRPr="00986EB0">
        <w:rPr>
          <w:rFonts w:ascii="Arial" w:eastAsia="Gadugi" w:hAnsi="Arial" w:cs="Arial"/>
          <w:sz w:val="24"/>
          <w:lang w:bidi="fr-CA"/>
        </w:rPr>
        <w:t>ajout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au réseau de la SÉQ et les économies de di</w:t>
      </w:r>
      <w:r w:rsidR="00DE3A58" w:rsidRPr="00986EB0">
        <w:rPr>
          <w:rFonts w:ascii="Arial" w:eastAsia="Gadugi" w:hAnsi="Arial" w:cs="Arial"/>
          <w:sz w:val="24"/>
          <w:lang w:bidi="fr-CA"/>
        </w:rPr>
        <w:t>é</w:t>
      </w:r>
      <w:r w:rsidRPr="00986EB0">
        <w:rPr>
          <w:rFonts w:ascii="Arial" w:eastAsia="Gadugi" w:hAnsi="Arial" w:cs="Arial"/>
          <w:sz w:val="24"/>
          <w:lang w:bidi="fr-CA"/>
        </w:rPr>
        <w:t>sel correspondantes. Il a été précisé que la SÉQ a adopté un rapport d’égalité, mais qu</w:t>
      </w:r>
      <w:r w:rsidR="00DE3A58" w:rsidRPr="00986EB0">
        <w:rPr>
          <w:rFonts w:ascii="Arial" w:eastAsia="Gadugi" w:hAnsi="Arial" w:cs="Arial"/>
          <w:sz w:val="24"/>
          <w:lang w:bidi="fr-CA"/>
        </w:rPr>
        <w:t>’</w:t>
      </w:r>
      <w:r w:rsidRPr="00986EB0">
        <w:rPr>
          <w:rFonts w:ascii="Arial" w:eastAsia="Gadugi" w:hAnsi="Arial" w:cs="Arial"/>
          <w:sz w:val="24"/>
          <w:lang w:bidi="fr-CA"/>
        </w:rPr>
        <w:t>il pourrait ne pas se concrétiser à court terme et dans des cas individuels en raison des conditions de chargement et d</w:t>
      </w:r>
      <w:r w:rsidR="00DE3A58" w:rsidRPr="00986EB0">
        <w:rPr>
          <w:rFonts w:ascii="Arial" w:eastAsia="Gadugi" w:hAnsi="Arial" w:cs="Arial"/>
          <w:sz w:val="24"/>
          <w:lang w:bidi="fr-CA"/>
        </w:rPr>
        <w:t>’</w:t>
      </w:r>
      <w:r w:rsidRPr="00986EB0">
        <w:rPr>
          <w:rFonts w:ascii="Arial" w:eastAsia="Gadugi" w:hAnsi="Arial" w:cs="Arial"/>
          <w:sz w:val="24"/>
          <w:lang w:bidi="fr-CA"/>
        </w:rPr>
        <w:t>exploitation. La SÉQ a indiqué qu</w:t>
      </w:r>
      <w:r w:rsidR="00DE3A58" w:rsidRPr="00986EB0">
        <w:rPr>
          <w:rFonts w:ascii="Arial" w:eastAsia="Gadugi" w:hAnsi="Arial" w:cs="Arial"/>
          <w:sz w:val="24"/>
          <w:lang w:bidi="fr-CA"/>
        </w:rPr>
        <w:t>’</w:t>
      </w:r>
      <w:r w:rsidRPr="00986EB0">
        <w:rPr>
          <w:rFonts w:ascii="Arial" w:eastAsia="Gadugi" w:hAnsi="Arial" w:cs="Arial"/>
          <w:sz w:val="24"/>
          <w:lang w:bidi="fr-CA"/>
        </w:rPr>
        <w:t>elle s</w:t>
      </w:r>
      <w:r w:rsidR="00DE3A58" w:rsidRPr="00986EB0">
        <w:rPr>
          <w:rFonts w:ascii="Arial" w:eastAsia="Gadugi" w:hAnsi="Arial" w:cs="Arial"/>
          <w:sz w:val="24"/>
          <w:lang w:bidi="fr-CA"/>
        </w:rPr>
        <w:t>’</w:t>
      </w:r>
      <w:r w:rsidRPr="00986EB0">
        <w:rPr>
          <w:rFonts w:ascii="Arial" w:eastAsia="Gadugi" w:hAnsi="Arial" w:cs="Arial"/>
          <w:sz w:val="24"/>
          <w:lang w:bidi="fr-CA"/>
        </w:rPr>
        <w:t xml:space="preserve">attendait à un rapport linéaire ou </w:t>
      </w:r>
      <w:r w:rsidR="007027B4" w:rsidRPr="00986EB0">
        <w:rPr>
          <w:rFonts w:ascii="Arial" w:eastAsia="Gadugi" w:hAnsi="Arial" w:cs="Arial"/>
          <w:sz w:val="24"/>
          <w:lang w:bidi="fr-CA"/>
        </w:rPr>
        <w:noBreakHyphen/>
      </w:r>
      <w:r w:rsidRPr="00986EB0">
        <w:rPr>
          <w:rFonts w:ascii="Arial" w:eastAsia="Gadugi" w:hAnsi="Arial" w:cs="Arial"/>
          <w:sz w:val="24"/>
          <w:lang w:bidi="fr-CA"/>
        </w:rPr>
        <w:t>d’égalité entre le di</w:t>
      </w:r>
      <w:r w:rsidR="00DE3A58" w:rsidRPr="00986EB0">
        <w:rPr>
          <w:rFonts w:ascii="Arial" w:eastAsia="Gadugi" w:hAnsi="Arial" w:cs="Arial"/>
          <w:sz w:val="24"/>
          <w:lang w:bidi="fr-CA"/>
        </w:rPr>
        <w:t>é</w:t>
      </w:r>
      <w:r w:rsidRPr="00986EB0">
        <w:rPr>
          <w:rFonts w:ascii="Arial" w:eastAsia="Gadugi" w:hAnsi="Arial" w:cs="Arial"/>
          <w:sz w:val="24"/>
          <w:lang w:bidi="fr-CA"/>
        </w:rPr>
        <w:t>sel évité et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à long terme une fois que les promoteurs PÉCI auront atteint une proportion significative. Le CETES comprend que, même s</w:t>
      </w:r>
      <w:r w:rsidR="00DE3A58" w:rsidRPr="00986EB0">
        <w:rPr>
          <w:rFonts w:ascii="Arial" w:eastAsia="Gadugi" w:hAnsi="Arial" w:cs="Arial"/>
          <w:sz w:val="24"/>
          <w:lang w:bidi="fr-CA"/>
        </w:rPr>
        <w:t>’</w:t>
      </w: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existe pas un rapport d’égalité parfait entre le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et la production renouvelable, il devrait s</w:t>
      </w:r>
      <w:r w:rsidR="00DE3A58" w:rsidRPr="00986EB0">
        <w:rPr>
          <w:rFonts w:ascii="Arial" w:eastAsia="Gadugi" w:hAnsi="Arial" w:cs="Arial"/>
          <w:sz w:val="24"/>
          <w:lang w:bidi="fr-CA"/>
        </w:rPr>
        <w:t>’</w:t>
      </w:r>
      <w:r w:rsidRPr="00986EB0">
        <w:rPr>
          <w:rFonts w:ascii="Arial" w:eastAsia="Gadugi" w:hAnsi="Arial" w:cs="Arial"/>
          <w:sz w:val="24"/>
          <w:lang w:bidi="fr-CA"/>
        </w:rPr>
        <w:t>en rapprocher à long terme, comme le laisse suggérer la SÉQ. Aucune des soumissions publiques n</w:t>
      </w:r>
      <w:r w:rsidR="00DE3A58" w:rsidRPr="00986EB0">
        <w:rPr>
          <w:rFonts w:ascii="Arial" w:eastAsia="Gadugi" w:hAnsi="Arial" w:cs="Arial"/>
          <w:sz w:val="24"/>
          <w:lang w:bidi="fr-CA"/>
        </w:rPr>
        <w:t>’</w:t>
      </w:r>
      <w:r w:rsidRPr="00986EB0">
        <w:rPr>
          <w:rFonts w:ascii="Arial" w:eastAsia="Gadugi" w:hAnsi="Arial" w:cs="Arial"/>
          <w:sz w:val="24"/>
          <w:lang w:bidi="fr-CA"/>
        </w:rPr>
        <w:t xml:space="preserve">a proposé le contraire, mais la plupart ont avancé que cela ne devrait pas constituer la seule et unique référence pour le prix du PÉCI. </w:t>
      </w:r>
    </w:p>
    <w:p w14:paraId="69FEA429" w14:textId="304DA72F"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fait remarquer qu</w:t>
      </w:r>
      <w:r w:rsidR="00DE3A58" w:rsidRPr="00986EB0">
        <w:rPr>
          <w:rFonts w:ascii="Arial" w:eastAsia="Gadugi" w:hAnsi="Arial" w:cs="Arial"/>
          <w:sz w:val="24"/>
          <w:lang w:bidi="fr-CA"/>
        </w:rPr>
        <w:t>’</w:t>
      </w:r>
      <w:r w:rsidRPr="00986EB0">
        <w:rPr>
          <w:rFonts w:ascii="Arial" w:eastAsia="Gadugi" w:hAnsi="Arial" w:cs="Arial"/>
          <w:sz w:val="24"/>
          <w:lang w:bidi="fr-CA"/>
        </w:rPr>
        <w:t>un prix PÉCI fondé uniquement sur le co</w:t>
      </w:r>
      <w:r w:rsidR="00DE3A58" w:rsidRPr="00986EB0">
        <w:rPr>
          <w:rFonts w:ascii="Arial" w:eastAsia="Gadugi" w:hAnsi="Arial" w:cs="Arial"/>
          <w:sz w:val="24"/>
          <w:lang w:bidi="fr-CA"/>
        </w:rPr>
        <w:t>u</w:t>
      </w:r>
      <w:r w:rsidRPr="00986EB0">
        <w:rPr>
          <w:rFonts w:ascii="Arial" w:eastAsia="Gadugi" w:hAnsi="Arial" w:cs="Arial"/>
          <w:sz w:val="24"/>
          <w:lang w:bidi="fr-CA"/>
        </w:rPr>
        <w:t>t évité du combustible (c</w:t>
      </w:r>
      <w:r w:rsidR="00DE3A58" w:rsidRPr="00986EB0">
        <w:rPr>
          <w:rFonts w:ascii="Arial" w:eastAsia="Gadugi" w:hAnsi="Arial" w:cs="Arial"/>
          <w:sz w:val="24"/>
          <w:lang w:bidi="fr-CA"/>
        </w:rPr>
        <w:t>’</w:t>
      </w:r>
      <w:r w:rsidRPr="00986EB0">
        <w:rPr>
          <w:rFonts w:ascii="Arial" w:eastAsia="Gadugi" w:hAnsi="Arial" w:cs="Arial"/>
          <w:sz w:val="24"/>
          <w:lang w:bidi="fr-CA"/>
        </w:rPr>
        <w:t>est-à-dire ne tenant pas compte des autres aspects de la structure tarifaire et du programme PÉCI) ne se traduit pas nécessairement par une augmentation des co</w:t>
      </w:r>
      <w:r w:rsidR="00DE3A58" w:rsidRPr="00986EB0">
        <w:rPr>
          <w:rFonts w:ascii="Arial" w:eastAsia="Gadugi" w:hAnsi="Arial" w:cs="Arial"/>
          <w:sz w:val="24"/>
          <w:lang w:bidi="fr-CA"/>
        </w:rPr>
        <w:t>u</w:t>
      </w:r>
      <w:r w:rsidRPr="00986EB0">
        <w:rPr>
          <w:rFonts w:ascii="Arial" w:eastAsia="Gadugi" w:hAnsi="Arial" w:cs="Arial"/>
          <w:sz w:val="24"/>
          <w:lang w:bidi="fr-CA"/>
        </w:rPr>
        <w:t>ts pour les autres clients de la SÉQ. Cependant, il est plus difficile de déterminer si elle suffira à elle seule à fournir les incitatifs nécessaires pour favoriser le développement d</w:t>
      </w:r>
      <w:r w:rsidR="00DE3A58" w:rsidRPr="00986EB0">
        <w:rPr>
          <w:rFonts w:ascii="Arial" w:eastAsia="Gadugi" w:hAnsi="Arial" w:cs="Arial"/>
          <w:sz w:val="24"/>
          <w:lang w:bidi="fr-CA"/>
        </w:rPr>
        <w:t>’</w:t>
      </w:r>
      <w:r w:rsidRPr="00986EB0">
        <w:rPr>
          <w:rFonts w:ascii="Arial" w:eastAsia="Gadugi" w:hAnsi="Arial" w:cs="Arial"/>
          <w:sz w:val="24"/>
          <w:lang w:bidi="fr-CA"/>
        </w:rPr>
        <w:t>énergies renouvelables sur le territoire de service de la SÉQ.</w:t>
      </w:r>
    </w:p>
    <w:p w14:paraId="68ECAD8E" w14:textId="3AFB89EE"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fait remarquer que de nombreuses soumissions publiques comprennent divers ajouts au prix du PÉCI ainsi que des commentaires à l</w:t>
      </w:r>
      <w:r w:rsidR="00DE3A58" w:rsidRPr="00986EB0">
        <w:rPr>
          <w:rFonts w:ascii="Arial" w:eastAsia="Gadugi" w:hAnsi="Arial" w:cs="Arial"/>
          <w:sz w:val="24"/>
          <w:lang w:bidi="fr-CA"/>
        </w:rPr>
        <w:t>’</w:t>
      </w:r>
      <w:r w:rsidRPr="00986EB0">
        <w:rPr>
          <w:rFonts w:ascii="Arial" w:eastAsia="Gadugi" w:hAnsi="Arial" w:cs="Arial"/>
          <w:sz w:val="24"/>
          <w:lang w:bidi="fr-CA"/>
        </w:rPr>
        <w:t>effet que le prix du PÉCI ne doit pas être fondé uniquement sur le co</w:t>
      </w:r>
      <w:r w:rsidR="00DE3A58" w:rsidRPr="00986EB0">
        <w:rPr>
          <w:rFonts w:ascii="Arial" w:eastAsia="Gadugi" w:hAnsi="Arial" w:cs="Arial"/>
          <w:sz w:val="24"/>
          <w:lang w:bidi="fr-CA"/>
        </w:rPr>
        <w:t>u</w:t>
      </w:r>
      <w:r w:rsidRPr="00986EB0">
        <w:rPr>
          <w:rFonts w:ascii="Arial" w:eastAsia="Gadugi" w:hAnsi="Arial" w:cs="Arial"/>
          <w:sz w:val="24"/>
          <w:lang w:bidi="fr-CA"/>
        </w:rPr>
        <w:t>t évité du di</w:t>
      </w:r>
      <w:r w:rsidR="00DE3A58" w:rsidRPr="00986EB0">
        <w:rPr>
          <w:rFonts w:ascii="Arial" w:eastAsia="Gadugi" w:hAnsi="Arial" w:cs="Arial"/>
          <w:sz w:val="24"/>
          <w:lang w:bidi="fr-CA"/>
        </w:rPr>
        <w:t>é</w:t>
      </w:r>
      <w:r w:rsidRPr="00986EB0">
        <w:rPr>
          <w:rFonts w:ascii="Arial" w:eastAsia="Gadugi" w:hAnsi="Arial" w:cs="Arial"/>
          <w:sz w:val="24"/>
          <w:lang w:bidi="fr-CA"/>
        </w:rPr>
        <w:t>sel, voire pas du tout. Le CETES a sollicité davantage de précisions à la SÉQ au moyen du processus de DI.</w:t>
      </w:r>
    </w:p>
    <w:p w14:paraId="5ACB19AB" w14:textId="7B0A29D0"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a examiné les différents ajouts en partant du principe qu</w:t>
      </w:r>
      <w:r w:rsidR="00DE3A58" w:rsidRPr="00986EB0">
        <w:rPr>
          <w:rFonts w:ascii="Arial" w:eastAsia="Gadugi" w:hAnsi="Arial" w:cs="Arial"/>
          <w:sz w:val="24"/>
          <w:lang w:bidi="fr-CA"/>
        </w:rPr>
        <w:t>’</w:t>
      </w:r>
      <w:r w:rsidRPr="00986EB0">
        <w:rPr>
          <w:rFonts w:ascii="Arial" w:eastAsia="Gadugi" w:hAnsi="Arial" w:cs="Arial"/>
          <w:sz w:val="24"/>
          <w:lang w:bidi="fr-CA"/>
        </w:rPr>
        <w:t xml:space="preserve">il ne fallait </w:t>
      </w:r>
      <w:r w:rsidRPr="00986EB0">
        <w:rPr>
          <w:rFonts w:ascii="Arial" w:eastAsia="Gadugi" w:hAnsi="Arial" w:cs="Arial"/>
          <w:sz w:val="24"/>
          <w:lang w:bidi="fr-CA"/>
        </w:rPr>
        <w:lastRenderedPageBreak/>
        <w:t>pas augmenter les taux/co</w:t>
      </w:r>
      <w:r w:rsidR="00DE3A58" w:rsidRPr="00986EB0">
        <w:rPr>
          <w:rFonts w:ascii="Arial" w:eastAsia="Gadugi" w:hAnsi="Arial" w:cs="Arial"/>
          <w:sz w:val="24"/>
          <w:lang w:bidi="fr-CA"/>
        </w:rPr>
        <w:t>u</w:t>
      </w:r>
      <w:r w:rsidRPr="00986EB0">
        <w:rPr>
          <w:rFonts w:ascii="Arial" w:eastAsia="Gadugi" w:hAnsi="Arial" w:cs="Arial"/>
          <w:sz w:val="24"/>
          <w:lang w:bidi="fr-CA"/>
        </w:rPr>
        <w:t>ts pour les autres clients de la SÉQ. Dans cette optique, il a semblé au CETES que la SÉQ ne devrait envisager l</w:t>
      </w:r>
      <w:r w:rsidR="00DE3A58" w:rsidRPr="00986EB0">
        <w:rPr>
          <w:rFonts w:ascii="Arial" w:eastAsia="Gadugi" w:hAnsi="Arial" w:cs="Arial"/>
          <w:sz w:val="24"/>
          <w:lang w:bidi="fr-CA"/>
        </w:rPr>
        <w:t>’</w:t>
      </w:r>
      <w:r w:rsidRPr="00986EB0">
        <w:rPr>
          <w:rFonts w:ascii="Arial" w:eastAsia="Gadugi" w:hAnsi="Arial" w:cs="Arial"/>
          <w:sz w:val="24"/>
          <w:lang w:bidi="fr-CA"/>
        </w:rPr>
        <w:t>adoption de la plupart des ajouts possibles que si celle-ci verse des subventions ou des contributions aux promoteurs PÉCI ou si elle impute des co</w:t>
      </w:r>
      <w:r w:rsidR="00DE3A58" w:rsidRPr="00986EB0">
        <w:rPr>
          <w:rFonts w:ascii="Arial" w:eastAsia="Gadugi" w:hAnsi="Arial" w:cs="Arial"/>
          <w:sz w:val="24"/>
          <w:lang w:bidi="fr-CA"/>
        </w:rPr>
        <w:t>u</w:t>
      </w:r>
      <w:r w:rsidRPr="00986EB0">
        <w:rPr>
          <w:rFonts w:ascii="Arial" w:eastAsia="Gadugi" w:hAnsi="Arial" w:cs="Arial"/>
          <w:sz w:val="24"/>
          <w:lang w:bidi="fr-CA"/>
        </w:rPr>
        <w:t>ts qu</w:t>
      </w:r>
      <w:r w:rsidR="00DE3A58" w:rsidRPr="00986EB0">
        <w:rPr>
          <w:rFonts w:ascii="Arial" w:eastAsia="Gadugi" w:hAnsi="Arial" w:cs="Arial"/>
          <w:sz w:val="24"/>
          <w:lang w:bidi="fr-CA"/>
        </w:rPr>
        <w:t>’</w:t>
      </w:r>
      <w:r w:rsidRPr="00986EB0">
        <w:rPr>
          <w:rFonts w:ascii="Arial" w:eastAsia="Gadugi" w:hAnsi="Arial" w:cs="Arial"/>
          <w:sz w:val="24"/>
          <w:lang w:bidi="fr-CA"/>
        </w:rPr>
        <w:t>elle évite en réalité. Le CETES convient avec la SÉQ qu</w:t>
      </w:r>
      <w:r w:rsidR="00DE3A58" w:rsidRPr="00986EB0">
        <w:rPr>
          <w:rFonts w:ascii="Arial" w:eastAsia="Gadugi" w:hAnsi="Arial" w:cs="Arial"/>
          <w:sz w:val="24"/>
          <w:lang w:bidi="fr-CA"/>
        </w:rPr>
        <w:t>’</w:t>
      </w: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est pas acceptable d</w:t>
      </w:r>
      <w:r w:rsidR="00DE3A58" w:rsidRPr="00986EB0">
        <w:rPr>
          <w:rFonts w:ascii="Arial" w:eastAsia="Gadugi" w:hAnsi="Arial" w:cs="Arial"/>
          <w:sz w:val="24"/>
          <w:lang w:bidi="fr-CA"/>
        </w:rPr>
        <w:t>’</w:t>
      </w:r>
      <w:r w:rsidRPr="00986EB0">
        <w:rPr>
          <w:rFonts w:ascii="Arial" w:eastAsia="Gadugi" w:hAnsi="Arial" w:cs="Arial"/>
          <w:sz w:val="24"/>
          <w:lang w:bidi="fr-CA"/>
        </w:rPr>
        <w:t>inclure dans le prix du PÉCI des ajouts qui sont financés par d</w:t>
      </w:r>
      <w:r w:rsidR="00DE3A58" w:rsidRPr="00986EB0">
        <w:rPr>
          <w:rFonts w:ascii="Arial" w:eastAsia="Gadugi" w:hAnsi="Arial" w:cs="Arial"/>
          <w:sz w:val="24"/>
          <w:lang w:bidi="fr-CA"/>
        </w:rPr>
        <w:t>’</w:t>
      </w:r>
      <w:r w:rsidRPr="00986EB0">
        <w:rPr>
          <w:rFonts w:ascii="Arial" w:eastAsia="Gadugi" w:hAnsi="Arial" w:cs="Arial"/>
          <w:sz w:val="24"/>
          <w:lang w:bidi="fr-CA"/>
        </w:rPr>
        <w:t>autres clients de la SÉQ, surtout s</w:t>
      </w:r>
      <w:r w:rsidR="00DE3A58" w:rsidRPr="00986EB0">
        <w:rPr>
          <w:rFonts w:ascii="Arial" w:eastAsia="Gadugi" w:hAnsi="Arial" w:cs="Arial"/>
          <w:sz w:val="24"/>
          <w:lang w:bidi="fr-CA"/>
        </w:rPr>
        <w:t>’</w:t>
      </w:r>
      <w:r w:rsidRPr="00986EB0">
        <w:rPr>
          <w:rFonts w:ascii="Arial" w:eastAsia="Gadugi" w:hAnsi="Arial" w:cs="Arial"/>
          <w:sz w:val="24"/>
          <w:lang w:bidi="fr-CA"/>
        </w:rPr>
        <w:t>il faut un certain temps pour que ces ajouts soient confirmés.</w:t>
      </w:r>
    </w:p>
    <w:p w14:paraId="3CA4A357" w14:textId="4EE8472D"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estime que les co</w:t>
      </w:r>
      <w:r w:rsidR="00DE3A58" w:rsidRPr="00986EB0">
        <w:rPr>
          <w:rFonts w:ascii="Arial" w:eastAsia="Gadugi" w:hAnsi="Arial" w:cs="Arial"/>
          <w:sz w:val="24"/>
          <w:lang w:bidi="fr-CA"/>
        </w:rPr>
        <w:t>u</w:t>
      </w:r>
      <w:r w:rsidRPr="00986EB0">
        <w:rPr>
          <w:rFonts w:ascii="Arial" w:eastAsia="Gadugi" w:hAnsi="Arial" w:cs="Arial"/>
          <w:sz w:val="24"/>
          <w:lang w:bidi="fr-CA"/>
        </w:rPr>
        <w:t>ts variables évités et les co</w:t>
      </w:r>
      <w:r w:rsidR="00DE3A58" w:rsidRPr="00986EB0">
        <w:rPr>
          <w:rFonts w:ascii="Arial" w:eastAsia="Gadugi" w:hAnsi="Arial" w:cs="Arial"/>
          <w:sz w:val="24"/>
          <w:lang w:bidi="fr-CA"/>
        </w:rPr>
        <w:t>u</w:t>
      </w:r>
      <w:r w:rsidRPr="00986EB0">
        <w:rPr>
          <w:rFonts w:ascii="Arial" w:eastAsia="Gadugi" w:hAnsi="Arial" w:cs="Arial"/>
          <w:sz w:val="24"/>
          <w:lang w:bidi="fr-CA"/>
        </w:rPr>
        <w:t>ts fixes différés devraient être pris en considération pour être inclus dans le prix du PÉCI en temps voulu. Le CETES constate que d</w:t>
      </w:r>
      <w:r w:rsidR="00DE3A58" w:rsidRPr="00986EB0">
        <w:rPr>
          <w:rFonts w:ascii="Arial" w:eastAsia="Gadugi" w:hAnsi="Arial" w:cs="Arial"/>
          <w:sz w:val="24"/>
          <w:lang w:bidi="fr-CA"/>
        </w:rPr>
        <w:t>’</w:t>
      </w:r>
      <w:r w:rsidRPr="00986EB0">
        <w:rPr>
          <w:rFonts w:ascii="Arial" w:eastAsia="Gadugi" w:hAnsi="Arial" w:cs="Arial"/>
          <w:sz w:val="24"/>
          <w:lang w:bidi="fr-CA"/>
        </w:rPr>
        <w:t>autres juridictions incluent des montants pour les co</w:t>
      </w:r>
      <w:r w:rsidR="00DE3A58" w:rsidRPr="00986EB0">
        <w:rPr>
          <w:rFonts w:ascii="Arial" w:eastAsia="Gadugi" w:hAnsi="Arial" w:cs="Arial"/>
          <w:sz w:val="24"/>
          <w:lang w:bidi="fr-CA"/>
        </w:rPr>
        <w:t>u</w:t>
      </w:r>
      <w:r w:rsidRPr="00986EB0">
        <w:rPr>
          <w:rFonts w:ascii="Arial" w:eastAsia="Gadugi" w:hAnsi="Arial" w:cs="Arial"/>
          <w:sz w:val="24"/>
          <w:lang w:bidi="fr-CA"/>
        </w:rPr>
        <w:t>ts variables évités et pour les co</w:t>
      </w:r>
      <w:r w:rsidR="00DE3A58" w:rsidRPr="00986EB0">
        <w:rPr>
          <w:rFonts w:ascii="Arial" w:eastAsia="Gadugi" w:hAnsi="Arial" w:cs="Arial"/>
          <w:sz w:val="24"/>
          <w:lang w:bidi="fr-CA"/>
        </w:rPr>
        <w:t>u</w:t>
      </w:r>
      <w:r w:rsidRPr="00986EB0">
        <w:rPr>
          <w:rFonts w:ascii="Arial" w:eastAsia="Gadugi" w:hAnsi="Arial" w:cs="Arial"/>
          <w:sz w:val="24"/>
          <w:lang w:bidi="fr-CA"/>
        </w:rPr>
        <w:t>ts fixes différés. De même, si les co</w:t>
      </w:r>
      <w:r w:rsidR="00DE3A58" w:rsidRPr="00986EB0">
        <w:rPr>
          <w:rFonts w:ascii="Arial" w:eastAsia="Gadugi" w:hAnsi="Arial" w:cs="Arial"/>
          <w:sz w:val="24"/>
          <w:lang w:bidi="fr-CA"/>
        </w:rPr>
        <w:t>u</w:t>
      </w:r>
      <w:r w:rsidRPr="00986EB0">
        <w:rPr>
          <w:rFonts w:ascii="Arial" w:eastAsia="Gadugi" w:hAnsi="Arial" w:cs="Arial"/>
          <w:sz w:val="24"/>
          <w:lang w:bidi="fr-CA"/>
        </w:rPr>
        <w:t>ts encourus par la SÉQ dans le futur peuvent être évités par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du PÉCI, il faudrait aussi envisager de les inclure dans le prix du PÉCI. Par exemple, si, à l</w:t>
      </w:r>
      <w:r w:rsidR="00DE3A58" w:rsidRPr="00986EB0">
        <w:rPr>
          <w:rFonts w:ascii="Arial" w:eastAsia="Gadugi" w:hAnsi="Arial" w:cs="Arial"/>
          <w:sz w:val="24"/>
          <w:lang w:bidi="fr-CA"/>
        </w:rPr>
        <w:t>’</w:t>
      </w:r>
      <w:r w:rsidRPr="00986EB0">
        <w:rPr>
          <w:rFonts w:ascii="Arial" w:eastAsia="Gadugi" w:hAnsi="Arial" w:cs="Arial"/>
          <w:sz w:val="24"/>
          <w:lang w:bidi="fr-CA"/>
        </w:rPr>
        <w:t>avenir, le co</w:t>
      </w:r>
      <w:r w:rsidR="00DE3A58" w:rsidRPr="00986EB0">
        <w:rPr>
          <w:rFonts w:ascii="Arial" w:eastAsia="Gadugi" w:hAnsi="Arial" w:cs="Arial"/>
          <w:sz w:val="24"/>
          <w:lang w:bidi="fr-CA"/>
        </w:rPr>
        <w:t>u</w:t>
      </w:r>
      <w:r w:rsidRPr="00986EB0">
        <w:rPr>
          <w:rFonts w:ascii="Arial" w:eastAsia="Gadugi" w:hAnsi="Arial" w:cs="Arial"/>
          <w:sz w:val="24"/>
          <w:lang w:bidi="fr-CA"/>
        </w:rPr>
        <w:t>t du di</w:t>
      </w:r>
      <w:r w:rsidR="00DE3A58" w:rsidRPr="00986EB0">
        <w:rPr>
          <w:rFonts w:ascii="Arial" w:eastAsia="Gadugi" w:hAnsi="Arial" w:cs="Arial"/>
          <w:sz w:val="24"/>
          <w:lang w:bidi="fr-CA"/>
        </w:rPr>
        <w:t>é</w:t>
      </w:r>
      <w:r w:rsidRPr="00986EB0">
        <w:rPr>
          <w:rFonts w:ascii="Arial" w:eastAsia="Gadugi" w:hAnsi="Arial" w:cs="Arial"/>
          <w:sz w:val="24"/>
          <w:lang w:bidi="fr-CA"/>
        </w:rPr>
        <w:t>sel pour la SÉQ comprenait une taxe sur le carbone. Dans ce cas, l</w:t>
      </w:r>
      <w:r w:rsidR="00DE3A58" w:rsidRPr="00986EB0">
        <w:rPr>
          <w:rFonts w:ascii="Arial" w:eastAsia="Gadugi" w:hAnsi="Arial" w:cs="Arial"/>
          <w:sz w:val="24"/>
          <w:lang w:bidi="fr-CA"/>
        </w:rPr>
        <w:t>’</w:t>
      </w:r>
      <w:r w:rsidRPr="00986EB0">
        <w:rPr>
          <w:rFonts w:ascii="Arial" w:eastAsia="Gadugi" w:hAnsi="Arial" w:cs="Arial"/>
          <w:sz w:val="24"/>
          <w:lang w:bidi="fr-CA"/>
        </w:rPr>
        <w:t xml:space="preserve">AAÉ (ou le prix du PÉCI) doit être suffisamment malléable pour que cette économie soit transférée au promoteur PÉCI. </w:t>
      </w:r>
    </w:p>
    <w:p w14:paraId="131B21DE" w14:textId="0CFA8A58"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est aussi d</w:t>
      </w:r>
      <w:r w:rsidR="00DE3A58" w:rsidRPr="00986EB0">
        <w:rPr>
          <w:rFonts w:ascii="Arial" w:eastAsia="Gadugi" w:hAnsi="Arial" w:cs="Arial"/>
          <w:sz w:val="24"/>
          <w:lang w:bidi="fr-CA"/>
        </w:rPr>
        <w:t>’</w:t>
      </w:r>
      <w:r w:rsidRPr="00986EB0">
        <w:rPr>
          <w:rFonts w:ascii="Arial" w:eastAsia="Gadugi" w:hAnsi="Arial" w:cs="Arial"/>
          <w:sz w:val="24"/>
          <w:lang w:bidi="fr-CA"/>
        </w:rPr>
        <w:t>avis que les subventions ou avantages liés à la valorisation des énergies renouvelables reçus par la SÉQ auraient lieu d</w:t>
      </w:r>
      <w:r w:rsidR="00DE3A58" w:rsidRPr="00986EB0">
        <w:rPr>
          <w:rFonts w:ascii="Arial" w:eastAsia="Gadugi" w:hAnsi="Arial" w:cs="Arial"/>
          <w:sz w:val="24"/>
          <w:lang w:bidi="fr-CA"/>
        </w:rPr>
        <w:t>’</w:t>
      </w:r>
      <w:r w:rsidRPr="00986EB0">
        <w:rPr>
          <w:rFonts w:ascii="Arial" w:eastAsia="Gadugi" w:hAnsi="Arial" w:cs="Arial"/>
          <w:sz w:val="24"/>
          <w:lang w:bidi="fr-CA"/>
        </w:rPr>
        <w:t xml:space="preserve">être inclus dans le prix du PÉCI. </w:t>
      </w:r>
    </w:p>
    <w:p w14:paraId="12EEEC49" w14:textId="696B1C9C" w:rsidR="003D56E8" w:rsidRPr="00986EB0"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rFonts w:ascii="Arial" w:hAnsi="Arial" w:cs="Arial"/>
          <w:color w:val="000000"/>
          <w:sz w:val="24"/>
          <w:szCs w:val="24"/>
        </w:rPr>
      </w:pPr>
      <w:r w:rsidRPr="00986EB0">
        <w:rPr>
          <w:rFonts w:ascii="Arial" w:eastAsia="Gadugi" w:hAnsi="Arial" w:cs="Arial"/>
          <w:sz w:val="24"/>
          <w:lang w:bidi="fr-CA"/>
        </w:rPr>
        <w:t>Le CETES souligne que la durée, le taux initial, la méthode d</w:t>
      </w:r>
      <w:r w:rsidR="00DE3A58" w:rsidRPr="00986EB0">
        <w:rPr>
          <w:rFonts w:ascii="Arial" w:eastAsia="Gadugi" w:hAnsi="Arial" w:cs="Arial"/>
          <w:sz w:val="24"/>
          <w:lang w:bidi="fr-CA"/>
        </w:rPr>
        <w:t>’</w:t>
      </w:r>
      <w:r w:rsidRPr="00986EB0">
        <w:rPr>
          <w:rFonts w:ascii="Arial" w:eastAsia="Gadugi" w:hAnsi="Arial" w:cs="Arial"/>
          <w:sz w:val="24"/>
          <w:lang w:bidi="fr-CA"/>
        </w:rPr>
        <w:t xml:space="preserve">ajustement et le taux minimum garanti ont tous été abordés dans les soumissions publiques. Le CETES avait également des questions à poser à la SÉQ concernant la structure tarifaire du PÉCI. La SÉQ a fourni une meilleure explication de la justification de son Option 3 dans les réponses aux DI. </w:t>
      </w:r>
    </w:p>
    <w:p w14:paraId="72EB6D8E" w14:textId="78FB2E77"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considère que bon nombre des suggestions d</w:t>
      </w:r>
      <w:r w:rsidR="00DE3A58" w:rsidRPr="00986EB0">
        <w:rPr>
          <w:rFonts w:ascii="Arial" w:eastAsia="Gadugi" w:hAnsi="Arial" w:cs="Arial"/>
          <w:sz w:val="24"/>
          <w:lang w:bidi="fr-CA"/>
        </w:rPr>
        <w:t>’</w:t>
      </w:r>
      <w:r w:rsidRPr="00986EB0">
        <w:rPr>
          <w:rFonts w:ascii="Arial" w:eastAsia="Gadugi" w:hAnsi="Arial" w:cs="Arial"/>
          <w:sz w:val="24"/>
          <w:lang w:bidi="fr-CA"/>
        </w:rPr>
        <w:t>amélioration pourraient être approfondies et incluses dans le AAÉ. Des questions comme la durée, les options de renouv</w:t>
      </w:r>
      <w:r w:rsidR="00DE3A58" w:rsidRPr="00986EB0">
        <w:rPr>
          <w:rFonts w:ascii="Arial" w:eastAsia="Gadugi" w:hAnsi="Arial" w:cs="Arial"/>
          <w:sz w:val="24"/>
          <w:lang w:bidi="fr-CA"/>
        </w:rPr>
        <w:t>è</w:t>
      </w:r>
      <w:r w:rsidRPr="00986EB0">
        <w:rPr>
          <w:rFonts w:ascii="Arial" w:eastAsia="Gadugi" w:hAnsi="Arial" w:cs="Arial"/>
          <w:sz w:val="24"/>
          <w:lang w:bidi="fr-CA"/>
        </w:rPr>
        <w:t>lement, la fixation du tarif initial, le tarif minimum garanti, la méthode d</w:t>
      </w:r>
      <w:r w:rsidR="00DE3A58" w:rsidRPr="00986EB0">
        <w:rPr>
          <w:rFonts w:ascii="Arial" w:eastAsia="Gadugi" w:hAnsi="Arial" w:cs="Arial"/>
          <w:sz w:val="24"/>
          <w:lang w:bidi="fr-CA"/>
        </w:rPr>
        <w:t>’</w:t>
      </w:r>
      <w:r w:rsidRPr="00986EB0">
        <w:rPr>
          <w:rFonts w:ascii="Arial" w:eastAsia="Gadugi" w:hAnsi="Arial" w:cs="Arial"/>
          <w:sz w:val="24"/>
          <w:lang w:bidi="fr-CA"/>
        </w:rPr>
        <w:t>ajustement (y compris l’augmentation, la diminution et le plafond global des hausses tarifaires d</w:t>
      </w:r>
      <w:r w:rsidR="00DE3A58" w:rsidRPr="00986EB0">
        <w:rPr>
          <w:rFonts w:ascii="Arial" w:eastAsia="Gadugi" w:hAnsi="Arial" w:cs="Arial"/>
          <w:sz w:val="24"/>
          <w:lang w:bidi="fr-CA"/>
        </w:rPr>
        <w:t>’</w:t>
      </w:r>
      <w:r w:rsidRPr="00986EB0">
        <w:rPr>
          <w:rFonts w:ascii="Arial" w:eastAsia="Gadugi" w:hAnsi="Arial" w:cs="Arial"/>
          <w:sz w:val="24"/>
          <w:lang w:bidi="fr-CA"/>
        </w:rPr>
        <w:t>achat) ainsi que l</w:t>
      </w:r>
      <w:r w:rsidR="00DE3A58" w:rsidRPr="00986EB0">
        <w:rPr>
          <w:rFonts w:ascii="Arial" w:eastAsia="Gadugi" w:hAnsi="Arial" w:cs="Arial"/>
          <w:sz w:val="24"/>
          <w:lang w:bidi="fr-CA"/>
        </w:rPr>
        <w:t>’</w:t>
      </w:r>
      <w:r w:rsidRPr="00986EB0">
        <w:rPr>
          <w:rFonts w:ascii="Arial" w:eastAsia="Gadugi" w:hAnsi="Arial" w:cs="Arial"/>
          <w:sz w:val="24"/>
          <w:lang w:bidi="fr-CA"/>
        </w:rPr>
        <w:t>examen r</w:t>
      </w:r>
      <w:r w:rsidR="00DE3A58" w:rsidRPr="00986EB0">
        <w:rPr>
          <w:rFonts w:ascii="Arial" w:eastAsia="Gadugi" w:hAnsi="Arial" w:cs="Arial"/>
          <w:sz w:val="24"/>
          <w:lang w:bidi="fr-CA"/>
        </w:rPr>
        <w:t>è</w:t>
      </w:r>
      <w:r w:rsidRPr="00986EB0">
        <w:rPr>
          <w:rFonts w:ascii="Arial" w:eastAsia="Gadugi" w:hAnsi="Arial" w:cs="Arial"/>
          <w:sz w:val="24"/>
          <w:lang w:bidi="fr-CA"/>
        </w:rPr>
        <w:t>glementaire pourraient être précisés dans l</w:t>
      </w:r>
      <w:r w:rsidR="00DE3A58" w:rsidRPr="00986EB0">
        <w:rPr>
          <w:rFonts w:ascii="Arial" w:eastAsia="Gadugi" w:hAnsi="Arial" w:cs="Arial"/>
          <w:sz w:val="24"/>
          <w:lang w:bidi="fr-CA"/>
        </w:rPr>
        <w:t>’</w:t>
      </w:r>
      <w:r w:rsidRPr="00986EB0">
        <w:rPr>
          <w:rFonts w:ascii="Arial" w:eastAsia="Gadugi" w:hAnsi="Arial" w:cs="Arial"/>
          <w:sz w:val="24"/>
          <w:lang w:bidi="fr-CA"/>
        </w:rPr>
        <w:t xml:space="preserve">AAÉ. </w:t>
      </w:r>
    </w:p>
    <w:p w14:paraId="4CD6D3E6" w14:textId="54987775"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lastRenderedPageBreak/>
        <w:t>Le CETES considère qu</w:t>
      </w:r>
      <w:r w:rsidR="00DE3A58" w:rsidRPr="00986EB0">
        <w:rPr>
          <w:rFonts w:ascii="Arial" w:eastAsia="Gadugi" w:hAnsi="Arial" w:cs="Arial"/>
          <w:sz w:val="24"/>
          <w:lang w:bidi="fr-CA"/>
        </w:rPr>
        <w:t>’</w:t>
      </w:r>
      <w:r w:rsidRPr="00986EB0">
        <w:rPr>
          <w:rFonts w:ascii="Arial" w:eastAsia="Gadugi" w:hAnsi="Arial" w:cs="Arial"/>
          <w:sz w:val="24"/>
          <w:lang w:bidi="fr-CA"/>
        </w:rPr>
        <w:t>il y a du mérite dans une durée d</w:t>
      </w:r>
      <w:r w:rsidR="00DE3A58" w:rsidRPr="00986EB0">
        <w:rPr>
          <w:rFonts w:ascii="Arial" w:eastAsia="Gadugi" w:hAnsi="Arial" w:cs="Arial"/>
          <w:sz w:val="24"/>
          <w:lang w:bidi="fr-CA"/>
        </w:rPr>
        <w:t>’</w:t>
      </w:r>
      <w:r w:rsidRPr="00986EB0">
        <w:rPr>
          <w:rFonts w:ascii="Arial" w:eastAsia="Gadugi" w:hAnsi="Arial" w:cs="Arial"/>
          <w:sz w:val="24"/>
          <w:lang w:bidi="fr-CA"/>
        </w:rPr>
        <w:t>AAÉ pouvant s</w:t>
      </w:r>
      <w:r w:rsidR="00DE3A58" w:rsidRPr="00986EB0">
        <w:rPr>
          <w:rFonts w:ascii="Arial" w:eastAsia="Gadugi" w:hAnsi="Arial" w:cs="Arial"/>
          <w:sz w:val="24"/>
          <w:lang w:bidi="fr-CA"/>
        </w:rPr>
        <w:t>’</w:t>
      </w:r>
      <w:r w:rsidRPr="00986EB0">
        <w:rPr>
          <w:rFonts w:ascii="Arial" w:eastAsia="Gadugi" w:hAnsi="Arial" w:cs="Arial"/>
          <w:sz w:val="24"/>
          <w:lang w:bidi="fr-CA"/>
        </w:rPr>
        <w:t>étendre au-delà de 25 ans avec des options de renouv</w:t>
      </w:r>
      <w:r w:rsidR="00DE3A58" w:rsidRPr="00986EB0">
        <w:rPr>
          <w:rFonts w:ascii="Arial" w:eastAsia="Gadugi" w:hAnsi="Arial" w:cs="Arial"/>
          <w:sz w:val="24"/>
          <w:lang w:bidi="fr-CA"/>
        </w:rPr>
        <w:t>è</w:t>
      </w:r>
      <w:r w:rsidRPr="00986EB0">
        <w:rPr>
          <w:rFonts w:ascii="Arial" w:eastAsia="Gadugi" w:hAnsi="Arial" w:cs="Arial"/>
          <w:sz w:val="24"/>
          <w:lang w:bidi="fr-CA"/>
        </w:rPr>
        <w:t xml:space="preserve">lement, ou ayant des dérogations pour la SÉQ et le promoteur du PÉCI. </w:t>
      </w:r>
    </w:p>
    <w:p w14:paraId="688C0D5F" w14:textId="3CC17BD3"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trouve raisonnable le tarif initial fondé sur une moyenne territoriale historique de 3 ans tel qu</w:t>
      </w:r>
      <w:r w:rsidR="00DE3A58" w:rsidRPr="00986EB0">
        <w:rPr>
          <w:rFonts w:ascii="Arial" w:eastAsia="Gadugi" w:hAnsi="Arial" w:cs="Arial"/>
          <w:sz w:val="24"/>
          <w:lang w:bidi="fr-CA"/>
        </w:rPr>
        <w:t>’</w:t>
      </w:r>
      <w:r w:rsidRPr="00986EB0">
        <w:rPr>
          <w:rFonts w:ascii="Arial" w:eastAsia="Gadugi" w:hAnsi="Arial" w:cs="Arial"/>
          <w:sz w:val="24"/>
          <w:lang w:bidi="fr-CA"/>
        </w:rPr>
        <w:t>il est proposé.</w:t>
      </w:r>
    </w:p>
    <w:p w14:paraId="5FE9E826" w14:textId="55A433C9"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a pris note des suggestions selon lesquelles un tarif minimum garanti est nécessaire et aussi que la méthode d</w:t>
      </w:r>
      <w:r w:rsidR="00DE3A58" w:rsidRPr="00986EB0">
        <w:rPr>
          <w:rFonts w:ascii="Arial" w:eastAsia="Gadugi" w:hAnsi="Arial" w:cs="Arial"/>
          <w:sz w:val="24"/>
          <w:lang w:bidi="fr-CA"/>
        </w:rPr>
        <w:t>’</w:t>
      </w:r>
      <w:r w:rsidRPr="00986EB0">
        <w:rPr>
          <w:rFonts w:ascii="Arial" w:eastAsia="Gadugi" w:hAnsi="Arial" w:cs="Arial"/>
          <w:sz w:val="24"/>
          <w:lang w:bidi="fr-CA"/>
        </w:rPr>
        <w:t>ajustement doit être symétrique, sans plafonnement des augmentations. La SÉQ a expliqué son raisonnement dans les réponses des DI. Toutefois, le CETES émet des réserves sur le fait que le tarif minimum doit être « garanti » par les autres clients de la SÉQ. Toute baisse du prix du carburant en dessous du tarif initial entra</w:t>
      </w:r>
      <w:r w:rsidR="00DE3A58" w:rsidRPr="00986EB0">
        <w:rPr>
          <w:rFonts w:ascii="Arial" w:eastAsia="Gadugi" w:hAnsi="Arial" w:cs="Arial"/>
          <w:sz w:val="24"/>
          <w:lang w:bidi="fr-CA"/>
        </w:rPr>
        <w:t>i</w:t>
      </w:r>
      <w:r w:rsidRPr="00986EB0">
        <w:rPr>
          <w:rFonts w:ascii="Arial" w:eastAsia="Gadugi" w:hAnsi="Arial" w:cs="Arial"/>
          <w:sz w:val="24"/>
          <w:lang w:bidi="fr-CA"/>
        </w:rPr>
        <w:t>nerait un transfert du risque aux autres clients de la SÉQ. Par ailleurs, le CETES se demande pourquoi les augmentations/diminutions de prix ne devraient pas être symétriques, sans limite à la hausse ou à la baisse. Le CETES est d</w:t>
      </w:r>
      <w:r w:rsidR="00DE3A58" w:rsidRPr="00986EB0">
        <w:rPr>
          <w:rFonts w:ascii="Arial" w:eastAsia="Gadugi" w:hAnsi="Arial" w:cs="Arial"/>
          <w:sz w:val="24"/>
          <w:lang w:bidi="fr-CA"/>
        </w:rPr>
        <w:t>’</w:t>
      </w:r>
      <w:r w:rsidRPr="00986EB0">
        <w:rPr>
          <w:rFonts w:ascii="Arial" w:eastAsia="Gadugi" w:hAnsi="Arial" w:cs="Arial"/>
          <w:sz w:val="24"/>
          <w:lang w:bidi="fr-CA"/>
        </w:rPr>
        <w:t>avis que si les co</w:t>
      </w:r>
      <w:r w:rsidR="00DE3A58" w:rsidRPr="00986EB0">
        <w:rPr>
          <w:rFonts w:ascii="Arial" w:eastAsia="Gadugi" w:hAnsi="Arial" w:cs="Arial"/>
          <w:sz w:val="24"/>
          <w:lang w:bidi="fr-CA"/>
        </w:rPr>
        <w:t>u</w:t>
      </w:r>
      <w:r w:rsidRPr="00986EB0">
        <w:rPr>
          <w:rFonts w:ascii="Arial" w:eastAsia="Gadugi" w:hAnsi="Arial" w:cs="Arial"/>
          <w:sz w:val="24"/>
          <w:lang w:bidi="fr-CA"/>
        </w:rPr>
        <w:t>ts du di</w:t>
      </w:r>
      <w:r w:rsidR="00DE3A58" w:rsidRPr="00986EB0">
        <w:rPr>
          <w:rFonts w:ascii="Arial" w:eastAsia="Gadugi" w:hAnsi="Arial" w:cs="Arial"/>
          <w:sz w:val="24"/>
          <w:lang w:bidi="fr-CA"/>
        </w:rPr>
        <w:t>é</w:t>
      </w:r>
      <w:r w:rsidRPr="00986EB0">
        <w:rPr>
          <w:rFonts w:ascii="Arial" w:eastAsia="Gadugi" w:hAnsi="Arial" w:cs="Arial"/>
          <w:sz w:val="24"/>
          <w:lang w:bidi="fr-CA"/>
        </w:rPr>
        <w:t>sel sont évités, cela devrait se répercuter sur le prix du PÉCI. De plus, la méthode d</w:t>
      </w:r>
      <w:r w:rsidR="00DE3A58" w:rsidRPr="00986EB0">
        <w:rPr>
          <w:rFonts w:ascii="Arial" w:eastAsia="Gadugi" w:hAnsi="Arial" w:cs="Arial"/>
          <w:sz w:val="24"/>
          <w:lang w:bidi="fr-CA"/>
        </w:rPr>
        <w:t>’</w:t>
      </w:r>
      <w:r w:rsidRPr="00986EB0">
        <w:rPr>
          <w:rFonts w:ascii="Arial" w:eastAsia="Gadugi" w:hAnsi="Arial" w:cs="Arial"/>
          <w:sz w:val="24"/>
          <w:lang w:bidi="fr-CA"/>
        </w:rPr>
        <w:t>ajustement doit avoir une périodicité suffisante (par exemple, une fois par an) pour que les augmentations ou diminutions de prix aient lieu en temps utile. Le CETES n</w:t>
      </w:r>
      <w:r w:rsidR="00DE3A58" w:rsidRPr="00986EB0">
        <w:rPr>
          <w:rFonts w:ascii="Arial" w:eastAsia="Gadugi" w:hAnsi="Arial" w:cs="Arial"/>
          <w:sz w:val="24"/>
          <w:lang w:bidi="fr-CA"/>
        </w:rPr>
        <w:t>’</w:t>
      </w:r>
      <w:r w:rsidRPr="00986EB0">
        <w:rPr>
          <w:rFonts w:ascii="Arial" w:eastAsia="Gadugi" w:hAnsi="Arial" w:cs="Arial"/>
          <w:sz w:val="24"/>
          <w:lang w:bidi="fr-CA"/>
        </w:rPr>
        <w:t>est pas d</w:t>
      </w:r>
      <w:r w:rsidR="00DE3A58" w:rsidRPr="00986EB0">
        <w:rPr>
          <w:rFonts w:ascii="Arial" w:eastAsia="Gadugi" w:hAnsi="Arial" w:cs="Arial"/>
          <w:sz w:val="24"/>
          <w:lang w:bidi="fr-CA"/>
        </w:rPr>
        <w:t>’</w:t>
      </w:r>
      <w:r w:rsidRPr="00986EB0">
        <w:rPr>
          <w:rFonts w:ascii="Arial" w:eastAsia="Gadugi" w:hAnsi="Arial" w:cs="Arial"/>
          <w:sz w:val="24"/>
          <w:lang w:bidi="fr-CA"/>
        </w:rPr>
        <w:t>accord pour qu</w:t>
      </w:r>
      <w:r w:rsidR="00DE3A58" w:rsidRPr="00986EB0">
        <w:rPr>
          <w:rFonts w:ascii="Arial" w:eastAsia="Gadugi" w:hAnsi="Arial" w:cs="Arial"/>
          <w:sz w:val="24"/>
          <w:lang w:bidi="fr-CA"/>
        </w:rPr>
        <w:t>’</w:t>
      </w:r>
      <w:r w:rsidRPr="00986EB0">
        <w:rPr>
          <w:rFonts w:ascii="Arial" w:eastAsia="Gadugi" w:hAnsi="Arial" w:cs="Arial"/>
          <w:sz w:val="24"/>
          <w:lang w:bidi="fr-CA"/>
        </w:rPr>
        <w:t>elle soit liée à une RMTG, qui peut ou non avoir lieu tous les 4 ans. Le CETES considère que si la méthode d</w:t>
      </w:r>
      <w:r w:rsidR="00DE3A58" w:rsidRPr="00986EB0">
        <w:rPr>
          <w:rFonts w:ascii="Arial" w:eastAsia="Gadugi" w:hAnsi="Arial" w:cs="Arial"/>
          <w:sz w:val="24"/>
          <w:lang w:bidi="fr-CA"/>
        </w:rPr>
        <w:t>’</w:t>
      </w:r>
      <w:r w:rsidRPr="00986EB0">
        <w:rPr>
          <w:rFonts w:ascii="Arial" w:eastAsia="Gadugi" w:hAnsi="Arial" w:cs="Arial"/>
          <w:sz w:val="24"/>
          <w:lang w:bidi="fr-CA"/>
        </w:rPr>
        <w:t>ajustement est bien documentée et suffisamment claire, elle peut se faire sur une base « routinière » et sans effort r</w:t>
      </w:r>
      <w:r w:rsidR="00DE3A58" w:rsidRPr="00986EB0">
        <w:rPr>
          <w:rFonts w:ascii="Arial" w:eastAsia="Gadugi" w:hAnsi="Arial" w:cs="Arial"/>
          <w:sz w:val="24"/>
          <w:lang w:bidi="fr-CA"/>
        </w:rPr>
        <w:t>è</w:t>
      </w:r>
      <w:r w:rsidRPr="00986EB0">
        <w:rPr>
          <w:rFonts w:ascii="Arial" w:eastAsia="Gadugi" w:hAnsi="Arial" w:cs="Arial"/>
          <w:sz w:val="24"/>
          <w:lang w:bidi="fr-CA"/>
        </w:rPr>
        <w:t>glementaire significatif (ou peut-être même sans aucun effort).</w:t>
      </w:r>
    </w:p>
    <w:p w14:paraId="2B7BF690" w14:textId="24786E9C"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prend également note des suggestions selon lesquelles le recalcul « annuel » du prix du PÉCI basé sur « l</w:t>
      </w:r>
      <w:r w:rsidR="00DE3A58" w:rsidRPr="00986EB0">
        <w:rPr>
          <w:rFonts w:ascii="Arial" w:eastAsia="Gadugi" w:hAnsi="Arial" w:cs="Arial"/>
          <w:sz w:val="24"/>
          <w:lang w:bidi="fr-CA"/>
        </w:rPr>
        <w:t>’</w:t>
      </w:r>
      <w:r w:rsidRPr="00986EB0">
        <w:rPr>
          <w:rFonts w:ascii="Arial" w:eastAsia="Gadugi" w:hAnsi="Arial" w:cs="Arial"/>
          <w:sz w:val="24"/>
          <w:lang w:bidi="fr-CA"/>
        </w:rPr>
        <w:t>une ou l</w:t>
      </w:r>
      <w:r w:rsidR="00DE3A58" w:rsidRPr="00986EB0">
        <w:rPr>
          <w:rFonts w:ascii="Arial" w:eastAsia="Gadugi" w:hAnsi="Arial" w:cs="Arial"/>
          <w:sz w:val="24"/>
          <w:lang w:bidi="fr-CA"/>
        </w:rPr>
        <w:t>’</w:t>
      </w:r>
      <w:r w:rsidRPr="00986EB0">
        <w:rPr>
          <w:rFonts w:ascii="Arial" w:eastAsia="Gadugi" w:hAnsi="Arial" w:cs="Arial"/>
          <w:sz w:val="24"/>
          <w:lang w:bidi="fr-CA"/>
        </w:rPr>
        <w:t>autre des options ci-dessus » n</w:t>
      </w:r>
      <w:r w:rsidR="00DE3A58" w:rsidRPr="00986EB0">
        <w:rPr>
          <w:rFonts w:ascii="Arial" w:eastAsia="Gadugi" w:hAnsi="Arial" w:cs="Arial"/>
          <w:sz w:val="24"/>
          <w:lang w:bidi="fr-CA"/>
        </w:rPr>
        <w:t>’</w:t>
      </w:r>
      <w:r w:rsidRPr="00986EB0">
        <w:rPr>
          <w:rFonts w:ascii="Arial" w:eastAsia="Gadugi" w:hAnsi="Arial" w:cs="Arial"/>
          <w:sz w:val="24"/>
          <w:lang w:bidi="fr-CA"/>
        </w:rPr>
        <w:t>est pas la meilleure méthode, surtout parce qu</w:t>
      </w:r>
      <w:r w:rsidR="00DE3A58" w:rsidRPr="00986EB0">
        <w:rPr>
          <w:rFonts w:ascii="Arial" w:eastAsia="Gadugi" w:hAnsi="Arial" w:cs="Arial"/>
          <w:sz w:val="24"/>
          <w:lang w:bidi="fr-CA"/>
        </w:rPr>
        <w:t>’</w:t>
      </w:r>
      <w:r w:rsidRPr="00986EB0">
        <w:rPr>
          <w:rFonts w:ascii="Arial" w:eastAsia="Gadugi" w:hAnsi="Arial" w:cs="Arial"/>
          <w:sz w:val="24"/>
          <w:lang w:bidi="fr-CA"/>
        </w:rPr>
        <w:t>il n</w:t>
      </w:r>
      <w:r w:rsidR="00DE3A58" w:rsidRPr="00986EB0">
        <w:rPr>
          <w:rFonts w:ascii="Arial" w:eastAsia="Gadugi" w:hAnsi="Arial" w:cs="Arial"/>
          <w:sz w:val="24"/>
          <w:lang w:bidi="fr-CA"/>
        </w:rPr>
        <w:t>’</w:t>
      </w:r>
      <w:r w:rsidRPr="00986EB0">
        <w:rPr>
          <w:rFonts w:ascii="Arial" w:eastAsia="Gadugi" w:hAnsi="Arial" w:cs="Arial"/>
          <w:sz w:val="24"/>
          <w:lang w:bidi="fr-CA"/>
        </w:rPr>
        <w:t>a lieu que tous les quatre ans au lieu d</w:t>
      </w:r>
      <w:r w:rsidR="00DE3A58" w:rsidRPr="00986EB0">
        <w:rPr>
          <w:rFonts w:ascii="Arial" w:eastAsia="Gadugi" w:hAnsi="Arial" w:cs="Arial"/>
          <w:sz w:val="24"/>
          <w:lang w:bidi="fr-CA"/>
        </w:rPr>
        <w:t>’</w:t>
      </w:r>
      <w:r w:rsidRPr="00986EB0">
        <w:rPr>
          <w:rFonts w:ascii="Arial" w:eastAsia="Gadugi" w:hAnsi="Arial" w:cs="Arial"/>
          <w:sz w:val="24"/>
          <w:lang w:bidi="fr-CA"/>
        </w:rPr>
        <w:t>une fois par an.</w:t>
      </w:r>
    </w:p>
    <w:p w14:paraId="4DAEB659" w14:textId="01B9B03E"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t>Le CETES émet des réserves sur la structure tarifaire du PÉCI et sur le fait qu</w:t>
      </w:r>
      <w:r w:rsidR="00DE3A58" w:rsidRPr="00986EB0">
        <w:rPr>
          <w:rFonts w:ascii="Arial" w:eastAsia="Gadugi" w:hAnsi="Arial" w:cs="Arial"/>
          <w:sz w:val="24"/>
          <w:lang w:bidi="fr-CA"/>
        </w:rPr>
        <w:t>’</w:t>
      </w:r>
      <w:r w:rsidRPr="00986EB0">
        <w:rPr>
          <w:rFonts w:ascii="Arial" w:eastAsia="Gadugi" w:hAnsi="Arial" w:cs="Arial"/>
          <w:sz w:val="24"/>
          <w:lang w:bidi="fr-CA"/>
        </w:rPr>
        <w:t>elle réponde ou non à la prémisse de la demande soumise par la SÉQ. Certains aspects du prix du PÉCI, mais pas tous, protègent les clients de la SÉQ d</w:t>
      </w:r>
      <w:r w:rsidR="00DE3A58" w:rsidRPr="00986EB0">
        <w:rPr>
          <w:rFonts w:ascii="Arial" w:eastAsia="Gadugi" w:hAnsi="Arial" w:cs="Arial"/>
          <w:sz w:val="24"/>
          <w:lang w:bidi="fr-CA"/>
        </w:rPr>
        <w:t>’</w:t>
      </w:r>
      <w:r w:rsidRPr="00986EB0">
        <w:rPr>
          <w:rFonts w:ascii="Arial" w:eastAsia="Gadugi" w:hAnsi="Arial" w:cs="Arial"/>
          <w:sz w:val="24"/>
          <w:lang w:bidi="fr-CA"/>
        </w:rPr>
        <w:t>une augmentation des co</w:t>
      </w:r>
      <w:r w:rsidR="00DE3A58" w:rsidRPr="00986EB0">
        <w:rPr>
          <w:rFonts w:ascii="Arial" w:eastAsia="Gadugi" w:hAnsi="Arial" w:cs="Arial"/>
          <w:sz w:val="24"/>
          <w:lang w:bidi="fr-CA"/>
        </w:rPr>
        <w:t>u</w:t>
      </w:r>
      <w:r w:rsidRPr="00986EB0">
        <w:rPr>
          <w:rFonts w:ascii="Arial" w:eastAsia="Gadugi" w:hAnsi="Arial" w:cs="Arial"/>
          <w:sz w:val="24"/>
          <w:lang w:bidi="fr-CA"/>
        </w:rPr>
        <w:t>ts/tarifs, mais d</w:t>
      </w:r>
      <w:r w:rsidR="00DE3A58" w:rsidRPr="00986EB0">
        <w:rPr>
          <w:rFonts w:ascii="Arial" w:eastAsia="Gadugi" w:hAnsi="Arial" w:cs="Arial"/>
          <w:sz w:val="24"/>
          <w:lang w:bidi="fr-CA"/>
        </w:rPr>
        <w:t>’</w:t>
      </w:r>
      <w:r w:rsidRPr="00986EB0">
        <w:rPr>
          <w:rFonts w:ascii="Arial" w:eastAsia="Gadugi" w:hAnsi="Arial" w:cs="Arial"/>
          <w:sz w:val="24"/>
          <w:lang w:bidi="fr-CA"/>
        </w:rPr>
        <w:t xml:space="preserve">autres aspects du prix du </w:t>
      </w:r>
      <w:r w:rsidRPr="00986EB0">
        <w:rPr>
          <w:rFonts w:ascii="Arial" w:eastAsia="Gadugi" w:hAnsi="Arial" w:cs="Arial"/>
          <w:sz w:val="24"/>
          <w:lang w:bidi="fr-CA"/>
        </w:rPr>
        <w:lastRenderedPageBreak/>
        <w:t>PÉCI limitent les incitatifs offerts aux promoteurs. Le CETES constate que, d</w:t>
      </w:r>
      <w:r w:rsidR="00DE3A58" w:rsidRPr="00986EB0">
        <w:rPr>
          <w:rFonts w:ascii="Arial" w:eastAsia="Gadugi" w:hAnsi="Arial" w:cs="Arial"/>
          <w:sz w:val="24"/>
          <w:lang w:bidi="fr-CA"/>
        </w:rPr>
        <w:t>’</w:t>
      </w:r>
      <w:r w:rsidRPr="00986EB0">
        <w:rPr>
          <w:rFonts w:ascii="Arial" w:eastAsia="Gadugi" w:hAnsi="Arial" w:cs="Arial"/>
          <w:sz w:val="24"/>
          <w:lang w:bidi="fr-CA"/>
        </w:rPr>
        <w:t>après les observations de la SÉQ et du public, l</w:t>
      </w:r>
      <w:r w:rsidR="00DE3A58" w:rsidRPr="00986EB0">
        <w:rPr>
          <w:rFonts w:ascii="Arial" w:eastAsia="Gadugi" w:hAnsi="Arial" w:cs="Arial"/>
          <w:sz w:val="24"/>
          <w:lang w:bidi="fr-CA"/>
        </w:rPr>
        <w:t>’</w:t>
      </w:r>
      <w:r w:rsidRPr="00986EB0">
        <w:rPr>
          <w:rFonts w:ascii="Arial" w:eastAsia="Gadugi" w:hAnsi="Arial" w:cs="Arial"/>
          <w:sz w:val="24"/>
          <w:lang w:bidi="fr-CA"/>
        </w:rPr>
        <w:t>analyse de rentabilité d</w:t>
      </w:r>
      <w:r w:rsidR="00DE3A58" w:rsidRPr="00986EB0">
        <w:rPr>
          <w:rFonts w:ascii="Arial" w:eastAsia="Gadugi" w:hAnsi="Arial" w:cs="Arial"/>
          <w:sz w:val="24"/>
          <w:lang w:bidi="fr-CA"/>
        </w:rPr>
        <w:t>’</w:t>
      </w:r>
      <w:r w:rsidRPr="00986EB0">
        <w:rPr>
          <w:rFonts w:ascii="Arial" w:eastAsia="Gadugi" w:hAnsi="Arial" w:cs="Arial"/>
          <w:sz w:val="24"/>
          <w:lang w:bidi="fr-CA"/>
        </w:rPr>
        <w:t>éventuels projets du PÉCI peut reposer en grande partie sur des mesures incitatives qui ne sont pas actuellement prises en compte dans le prix du PÉCI. Le CETES est d</w:t>
      </w:r>
      <w:r w:rsidR="00DE3A58" w:rsidRPr="00986EB0">
        <w:rPr>
          <w:rFonts w:ascii="Arial" w:eastAsia="Gadugi" w:hAnsi="Arial" w:cs="Arial"/>
          <w:sz w:val="24"/>
          <w:lang w:bidi="fr-CA"/>
        </w:rPr>
        <w:t>’</w:t>
      </w:r>
      <w:r w:rsidRPr="00986EB0">
        <w:rPr>
          <w:rFonts w:ascii="Arial" w:eastAsia="Gadugi" w:hAnsi="Arial" w:cs="Arial"/>
          <w:sz w:val="24"/>
          <w:lang w:bidi="fr-CA"/>
        </w:rPr>
        <w:t>accord avec la SÉQ et ne considère pas que ces mesures incitatives devraient être financées par d</w:t>
      </w:r>
      <w:r w:rsidR="00DE3A58" w:rsidRPr="00986EB0">
        <w:rPr>
          <w:rFonts w:ascii="Arial" w:eastAsia="Gadugi" w:hAnsi="Arial" w:cs="Arial"/>
          <w:sz w:val="24"/>
          <w:lang w:bidi="fr-CA"/>
        </w:rPr>
        <w:t>’</w:t>
      </w:r>
      <w:r w:rsidRPr="00986EB0">
        <w:rPr>
          <w:rFonts w:ascii="Arial" w:eastAsia="Gadugi" w:hAnsi="Arial" w:cs="Arial"/>
          <w:sz w:val="24"/>
          <w:lang w:bidi="fr-CA"/>
        </w:rPr>
        <w:t>autres clients de la SÉQ. Peut-être que de « nouvelles » mesures incitatives offertes par le GN ou d</w:t>
      </w:r>
      <w:r w:rsidR="00DE3A58" w:rsidRPr="00986EB0">
        <w:rPr>
          <w:rFonts w:ascii="Arial" w:eastAsia="Gadugi" w:hAnsi="Arial" w:cs="Arial"/>
          <w:sz w:val="24"/>
          <w:lang w:bidi="fr-CA"/>
        </w:rPr>
        <w:t>’</w:t>
      </w:r>
      <w:r w:rsidRPr="00986EB0">
        <w:rPr>
          <w:rFonts w:ascii="Arial" w:eastAsia="Gadugi" w:hAnsi="Arial" w:cs="Arial"/>
          <w:sz w:val="24"/>
          <w:lang w:bidi="fr-CA"/>
        </w:rPr>
        <w:t>autres mesures ciblant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en plus de celles qui sont actuellement offertes par les programmes fédéraux, pourraient être communiquées par l</w:t>
      </w:r>
      <w:r w:rsidR="00DE3A58" w:rsidRPr="00986EB0">
        <w:rPr>
          <w:rFonts w:ascii="Arial" w:eastAsia="Gadugi" w:hAnsi="Arial" w:cs="Arial"/>
          <w:sz w:val="24"/>
          <w:lang w:bidi="fr-CA"/>
        </w:rPr>
        <w:t>’</w:t>
      </w:r>
      <w:r w:rsidRPr="00986EB0">
        <w:rPr>
          <w:rFonts w:ascii="Arial" w:eastAsia="Gadugi" w:hAnsi="Arial" w:cs="Arial"/>
          <w:sz w:val="24"/>
          <w:lang w:bidi="fr-CA"/>
        </w:rPr>
        <w:t>entremise de la SÉQ aux promoteurs PÉCI.</w:t>
      </w:r>
    </w:p>
    <w:p w14:paraId="42964B79" w14:textId="77777777" w:rsidR="003D56E8" w:rsidRPr="00986EB0" w:rsidRDefault="003D56E8">
      <w:pPr>
        <w:pBdr>
          <w:top w:val="nil"/>
          <w:left w:val="nil"/>
          <w:bottom w:val="nil"/>
          <w:right w:val="nil"/>
          <w:between w:val="nil"/>
        </w:pBdr>
        <w:rPr>
          <w:rFonts w:ascii="Arial" w:hAnsi="Arial" w:cs="Arial"/>
          <w:color w:val="000000"/>
          <w:sz w:val="24"/>
          <w:szCs w:val="24"/>
        </w:rPr>
      </w:pPr>
    </w:p>
    <w:p w14:paraId="1ADA4451" w14:textId="77777777" w:rsidR="003D56E8" w:rsidRPr="00986EB0" w:rsidRDefault="00AA767F" w:rsidP="00FD4CC3">
      <w:pPr>
        <w:pStyle w:val="URRCHeading2"/>
        <w:rPr>
          <w:rFonts w:ascii="Arial" w:hAnsi="Arial" w:cs="Arial"/>
        </w:rPr>
      </w:pPr>
      <w:bookmarkStart w:id="17" w:name="bookmark=id.44sinio" w:colFirst="0" w:colLast="0"/>
      <w:bookmarkStart w:id="18" w:name="_heading=h.2jxsxqh" w:colFirst="0" w:colLast="0"/>
      <w:bookmarkEnd w:id="17"/>
      <w:bookmarkEnd w:id="18"/>
      <w:r w:rsidRPr="00986EB0">
        <w:rPr>
          <w:rFonts w:ascii="Arial" w:eastAsia="Gadugi" w:hAnsi="Arial" w:cs="Arial"/>
          <w:lang w:bidi="fr-CA"/>
        </w:rPr>
        <w:t>PROGRAMME PÉCI</w:t>
      </w:r>
    </w:p>
    <w:p w14:paraId="427B855B" w14:textId="77777777" w:rsidR="003D56E8" w:rsidRPr="00986EB0" w:rsidRDefault="003D56E8">
      <w:pPr>
        <w:pBdr>
          <w:top w:val="nil"/>
          <w:left w:val="nil"/>
          <w:bottom w:val="nil"/>
          <w:right w:val="nil"/>
          <w:between w:val="nil"/>
        </w:pBdr>
        <w:spacing w:before="8"/>
        <w:rPr>
          <w:rFonts w:ascii="Arial" w:hAnsi="Arial" w:cs="Arial"/>
          <w:color w:val="000000"/>
          <w:sz w:val="24"/>
          <w:szCs w:val="24"/>
        </w:rPr>
      </w:pPr>
    </w:p>
    <w:p w14:paraId="17B7DB2A" w14:textId="25AE0572"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35"/>
          <w:szCs w:val="35"/>
        </w:rPr>
      </w:pPr>
      <w:r w:rsidRPr="00986EB0">
        <w:rPr>
          <w:rFonts w:ascii="Arial" w:eastAsia="Gadugi" w:hAnsi="Arial" w:cs="Arial"/>
          <w:sz w:val="24"/>
          <w:lang w:bidi="fr-CA"/>
        </w:rPr>
        <w:t>Le CETES rappelle que la SÉQ n</w:t>
      </w:r>
      <w:r w:rsidR="00DE3A58" w:rsidRPr="00986EB0">
        <w:rPr>
          <w:rFonts w:ascii="Arial" w:eastAsia="Gadugi" w:hAnsi="Arial" w:cs="Arial"/>
          <w:sz w:val="24"/>
          <w:lang w:bidi="fr-CA"/>
        </w:rPr>
        <w:t>’</w:t>
      </w:r>
      <w:r w:rsidRPr="00986EB0">
        <w:rPr>
          <w:rFonts w:ascii="Arial" w:eastAsia="Gadugi" w:hAnsi="Arial" w:cs="Arial"/>
          <w:sz w:val="24"/>
          <w:lang w:bidi="fr-CA"/>
        </w:rPr>
        <w:t>a pas demandé l</w:t>
      </w:r>
      <w:r w:rsidR="00DE3A58" w:rsidRPr="00986EB0">
        <w:rPr>
          <w:rFonts w:ascii="Arial" w:eastAsia="Gadugi" w:hAnsi="Arial" w:cs="Arial"/>
          <w:sz w:val="24"/>
          <w:lang w:bidi="fr-CA"/>
        </w:rPr>
        <w:t>’</w:t>
      </w:r>
      <w:r w:rsidRPr="00986EB0">
        <w:rPr>
          <w:rFonts w:ascii="Arial" w:eastAsia="Gadugi" w:hAnsi="Arial" w:cs="Arial"/>
          <w:sz w:val="24"/>
          <w:lang w:bidi="fr-CA"/>
        </w:rPr>
        <w:t>approbation de son programme PÉCI, sauf en ce qui concerne la structure tarifaire. Le CETES constate qu</w:t>
      </w:r>
      <w:r w:rsidR="00DE3A58" w:rsidRPr="00986EB0">
        <w:rPr>
          <w:rFonts w:ascii="Arial" w:eastAsia="Gadugi" w:hAnsi="Arial" w:cs="Arial"/>
          <w:sz w:val="24"/>
          <w:lang w:bidi="fr-CA"/>
        </w:rPr>
        <w:t>’</w:t>
      </w:r>
      <w:r w:rsidRPr="00986EB0">
        <w:rPr>
          <w:rFonts w:ascii="Arial" w:eastAsia="Gadugi" w:hAnsi="Arial" w:cs="Arial"/>
          <w:sz w:val="24"/>
          <w:lang w:bidi="fr-CA"/>
        </w:rPr>
        <w:t>un grand nombre de soumissions publiques ont fourni des rétroactions sur des sujets qui sont visés par le programme PÉCI et sur la façon dont il est lié à la facturation nette et au programme PÉI sur lequel la SÉQ travaille également. Le CETES s</w:t>
      </w:r>
      <w:r w:rsidR="00DE3A58" w:rsidRPr="00986EB0">
        <w:rPr>
          <w:rFonts w:ascii="Arial" w:eastAsia="Gadugi" w:hAnsi="Arial" w:cs="Arial"/>
          <w:sz w:val="24"/>
          <w:lang w:bidi="fr-CA"/>
        </w:rPr>
        <w:t>’</w:t>
      </w:r>
      <w:r w:rsidRPr="00986EB0">
        <w:rPr>
          <w:rFonts w:ascii="Arial" w:eastAsia="Gadugi" w:hAnsi="Arial" w:cs="Arial"/>
          <w:sz w:val="24"/>
          <w:lang w:bidi="fr-CA"/>
        </w:rPr>
        <w:t>est également posé de nombreuses questions semblables. Le CETES souligne que la SÉQ s</w:t>
      </w:r>
      <w:r w:rsidR="00DE3A58" w:rsidRPr="00986EB0">
        <w:rPr>
          <w:rFonts w:ascii="Arial" w:eastAsia="Gadugi" w:hAnsi="Arial" w:cs="Arial"/>
          <w:sz w:val="24"/>
          <w:lang w:bidi="fr-CA"/>
        </w:rPr>
        <w:t>’</w:t>
      </w:r>
      <w:r w:rsidRPr="00986EB0">
        <w:rPr>
          <w:rFonts w:ascii="Arial" w:eastAsia="Gadugi" w:hAnsi="Arial" w:cs="Arial"/>
          <w:sz w:val="24"/>
          <w:lang w:bidi="fr-CA"/>
        </w:rPr>
        <w:t>est montrée réceptive au cours du processus de DI et a fourni de l</w:t>
      </w:r>
      <w:r w:rsidR="00DE3A58" w:rsidRPr="00986EB0">
        <w:rPr>
          <w:rFonts w:ascii="Arial" w:eastAsia="Gadugi" w:hAnsi="Arial" w:cs="Arial"/>
          <w:sz w:val="24"/>
          <w:lang w:bidi="fr-CA"/>
        </w:rPr>
        <w:t>’</w:t>
      </w:r>
      <w:r w:rsidRPr="00986EB0">
        <w:rPr>
          <w:rFonts w:ascii="Arial" w:eastAsia="Gadugi" w:hAnsi="Arial" w:cs="Arial"/>
          <w:sz w:val="24"/>
          <w:lang w:bidi="fr-CA"/>
        </w:rPr>
        <w:t>information utile dans ses réponses afin de clarifier certains points qui ne sont pas abordés dans le cadre strict de la structure tarifaire. Bien que certaines observations proposent un modèle de « facturation nette », le CETES rappelle qu</w:t>
      </w:r>
      <w:r w:rsidR="00DE3A58" w:rsidRPr="00986EB0">
        <w:rPr>
          <w:rFonts w:ascii="Arial" w:eastAsia="Gadugi" w:hAnsi="Arial" w:cs="Arial"/>
          <w:sz w:val="24"/>
          <w:lang w:bidi="fr-CA"/>
        </w:rPr>
        <w:t>’</w:t>
      </w:r>
      <w:r w:rsidRPr="00986EB0">
        <w:rPr>
          <w:rFonts w:ascii="Arial" w:eastAsia="Gadugi" w:hAnsi="Arial" w:cs="Arial"/>
          <w:sz w:val="24"/>
          <w:lang w:bidi="fr-CA"/>
        </w:rPr>
        <w:t>un tel modèle entra</w:t>
      </w:r>
      <w:r w:rsidR="00DE3A58" w:rsidRPr="00986EB0">
        <w:rPr>
          <w:rFonts w:ascii="Arial" w:eastAsia="Gadugi" w:hAnsi="Arial" w:cs="Arial"/>
          <w:sz w:val="24"/>
          <w:lang w:bidi="fr-CA"/>
        </w:rPr>
        <w:t>i</w:t>
      </w:r>
      <w:r w:rsidRPr="00986EB0">
        <w:rPr>
          <w:rFonts w:ascii="Arial" w:eastAsia="Gadugi" w:hAnsi="Arial" w:cs="Arial"/>
          <w:sz w:val="24"/>
          <w:lang w:bidi="fr-CA"/>
        </w:rPr>
        <w:t>nerait une augmentation des co</w:t>
      </w:r>
      <w:r w:rsidR="00DE3A58" w:rsidRPr="00986EB0">
        <w:rPr>
          <w:rFonts w:ascii="Arial" w:eastAsia="Gadugi" w:hAnsi="Arial" w:cs="Arial"/>
          <w:sz w:val="24"/>
          <w:lang w:bidi="fr-CA"/>
        </w:rPr>
        <w:t>u</w:t>
      </w:r>
      <w:r w:rsidRPr="00986EB0">
        <w:rPr>
          <w:rFonts w:ascii="Arial" w:eastAsia="Gadugi" w:hAnsi="Arial" w:cs="Arial"/>
          <w:sz w:val="24"/>
          <w:lang w:bidi="fr-CA"/>
        </w:rPr>
        <w:t>ts pour les abonnés de la SÉQ.</w:t>
      </w:r>
    </w:p>
    <w:p w14:paraId="035F8B57" w14:textId="1201D212"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35"/>
          <w:szCs w:val="35"/>
        </w:rPr>
      </w:pPr>
      <w:r w:rsidRPr="00986EB0">
        <w:rPr>
          <w:rFonts w:ascii="Arial" w:eastAsia="Gadugi" w:hAnsi="Arial" w:cs="Arial"/>
          <w:sz w:val="24"/>
          <w:lang w:bidi="fr-CA"/>
        </w:rPr>
        <w:t>Le CETES et d</w:t>
      </w:r>
      <w:r w:rsidR="00DE3A58" w:rsidRPr="00986EB0">
        <w:rPr>
          <w:rFonts w:ascii="Arial" w:eastAsia="Gadugi" w:hAnsi="Arial" w:cs="Arial"/>
          <w:sz w:val="24"/>
          <w:lang w:bidi="fr-CA"/>
        </w:rPr>
        <w:t>’</w:t>
      </w:r>
      <w:r w:rsidRPr="00986EB0">
        <w:rPr>
          <w:rFonts w:ascii="Arial" w:eastAsia="Gadugi" w:hAnsi="Arial" w:cs="Arial"/>
          <w:sz w:val="24"/>
          <w:lang w:bidi="fr-CA"/>
        </w:rPr>
        <w:t>autres organisations ont fait remarquer que la demande ne contient pas de définition de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n</w:t>
      </w:r>
      <w:r w:rsidR="00DE3A58" w:rsidRPr="00986EB0">
        <w:rPr>
          <w:rFonts w:ascii="Arial" w:eastAsia="Gadugi" w:hAnsi="Arial" w:cs="Arial"/>
          <w:sz w:val="24"/>
          <w:lang w:bidi="fr-CA"/>
        </w:rPr>
        <w:t>’</w:t>
      </w:r>
      <w:r w:rsidRPr="00986EB0">
        <w:rPr>
          <w:rFonts w:ascii="Arial" w:eastAsia="Gadugi" w:hAnsi="Arial" w:cs="Arial"/>
          <w:sz w:val="24"/>
          <w:lang w:bidi="fr-CA"/>
        </w:rPr>
        <w:t>explique pas comment le PÉCI cadre avec la facturation nette et le PÉI, ne donne pas de détails sur l</w:t>
      </w:r>
      <w:r w:rsidR="00DE3A58" w:rsidRPr="00986EB0">
        <w:rPr>
          <w:rFonts w:ascii="Arial" w:eastAsia="Gadugi" w:hAnsi="Arial" w:cs="Arial"/>
          <w:sz w:val="24"/>
          <w:lang w:bidi="fr-CA"/>
        </w:rPr>
        <w:t>’</w:t>
      </w:r>
      <w:r w:rsidRPr="00986EB0">
        <w:rPr>
          <w:rFonts w:ascii="Arial" w:eastAsia="Gadugi" w:hAnsi="Arial" w:cs="Arial"/>
          <w:sz w:val="24"/>
          <w:lang w:bidi="fr-CA"/>
        </w:rPr>
        <w:t>AAÉ ou les exigences techniques d</w:t>
      </w:r>
      <w:r w:rsidR="00DE3A58" w:rsidRPr="00986EB0">
        <w:rPr>
          <w:rFonts w:ascii="Arial" w:eastAsia="Gadugi" w:hAnsi="Arial" w:cs="Arial"/>
          <w:sz w:val="24"/>
          <w:lang w:bidi="fr-CA"/>
        </w:rPr>
        <w:t>’</w:t>
      </w:r>
      <w:r w:rsidRPr="00986EB0">
        <w:rPr>
          <w:rFonts w:ascii="Arial" w:eastAsia="Gadugi" w:hAnsi="Arial" w:cs="Arial"/>
          <w:sz w:val="24"/>
          <w:lang w:bidi="fr-CA"/>
        </w:rPr>
        <w:t>interconnexion (ETI), n</w:t>
      </w:r>
      <w:r w:rsidR="00DE3A58" w:rsidRPr="00986EB0">
        <w:rPr>
          <w:rFonts w:ascii="Arial" w:eastAsia="Gadugi" w:hAnsi="Arial" w:cs="Arial"/>
          <w:sz w:val="24"/>
          <w:lang w:bidi="fr-CA"/>
        </w:rPr>
        <w:t>’</w:t>
      </w:r>
      <w:r w:rsidRPr="00986EB0">
        <w:rPr>
          <w:rFonts w:ascii="Arial" w:eastAsia="Gadugi" w:hAnsi="Arial" w:cs="Arial"/>
          <w:sz w:val="24"/>
          <w:lang w:bidi="fr-CA"/>
        </w:rPr>
        <w:t>indique pas de limites pour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et ne précise pas dans quelle mesure ces limites peuvent être comblées par le PÉCI en plus de nombreuses autres préoccupations.</w:t>
      </w:r>
    </w:p>
    <w:p w14:paraId="03713B1C" w14:textId="4471C9FE" w:rsidR="003D56E8" w:rsidRPr="00986EB0" w:rsidRDefault="00AA767F">
      <w:pPr>
        <w:numPr>
          <w:ilvl w:val="2"/>
          <w:numId w:val="4"/>
        </w:numPr>
        <w:pBdr>
          <w:top w:val="nil"/>
          <w:left w:val="nil"/>
          <w:bottom w:val="nil"/>
          <w:right w:val="nil"/>
          <w:between w:val="nil"/>
        </w:pBdr>
        <w:tabs>
          <w:tab w:val="left" w:pos="885"/>
        </w:tabs>
        <w:spacing w:line="360" w:lineRule="auto"/>
        <w:ind w:right="117"/>
        <w:jc w:val="both"/>
        <w:rPr>
          <w:rFonts w:ascii="Arial" w:hAnsi="Arial" w:cs="Arial"/>
          <w:color w:val="000000"/>
          <w:sz w:val="24"/>
          <w:szCs w:val="24"/>
        </w:rPr>
      </w:pPr>
      <w:r w:rsidRPr="00986EB0">
        <w:rPr>
          <w:rFonts w:ascii="Arial" w:eastAsia="Gadugi" w:hAnsi="Arial" w:cs="Arial"/>
          <w:sz w:val="24"/>
          <w:lang w:bidi="fr-CA"/>
        </w:rPr>
        <w:lastRenderedPageBreak/>
        <w:t>Le CETES a demandé des précisions à la SÉQ sur ses plans pour « finaliser » le programme PÉCI et sur ses intentions quant aux approbations r</w:t>
      </w:r>
      <w:r w:rsidR="00DE3A58" w:rsidRPr="00986EB0">
        <w:rPr>
          <w:rFonts w:ascii="Arial" w:eastAsia="Gadugi" w:hAnsi="Arial" w:cs="Arial"/>
          <w:sz w:val="24"/>
          <w:lang w:bidi="fr-CA"/>
        </w:rPr>
        <w:t>è</w:t>
      </w:r>
      <w:r w:rsidRPr="00986EB0">
        <w:rPr>
          <w:rFonts w:ascii="Arial" w:eastAsia="Gadugi" w:hAnsi="Arial" w:cs="Arial"/>
          <w:sz w:val="24"/>
          <w:lang w:bidi="fr-CA"/>
        </w:rPr>
        <w:t>glementaires futures (telles que les modifications des tarifs, les conditions de service et d</w:t>
      </w:r>
      <w:r w:rsidR="00DE3A58" w:rsidRPr="00986EB0">
        <w:rPr>
          <w:rFonts w:ascii="Arial" w:eastAsia="Gadugi" w:hAnsi="Arial" w:cs="Arial"/>
          <w:sz w:val="24"/>
          <w:lang w:bidi="fr-CA"/>
        </w:rPr>
        <w:t>’</w:t>
      </w:r>
      <w:r w:rsidRPr="00986EB0">
        <w:rPr>
          <w:rFonts w:ascii="Arial" w:eastAsia="Gadugi" w:hAnsi="Arial" w:cs="Arial"/>
          <w:sz w:val="24"/>
          <w:lang w:bidi="fr-CA"/>
        </w:rPr>
        <w:t>autres aspects du PÉCI qui pourraient être importants pour la SÉQ et ses clients, qui feront tous partie intégrante du programme PÉCI et qui devraient faire l</w:t>
      </w:r>
      <w:r w:rsidR="00DE3A58" w:rsidRPr="00986EB0">
        <w:rPr>
          <w:rFonts w:ascii="Arial" w:eastAsia="Gadugi" w:hAnsi="Arial" w:cs="Arial"/>
          <w:sz w:val="24"/>
          <w:lang w:bidi="fr-CA"/>
        </w:rPr>
        <w:t>’</w:t>
      </w:r>
      <w:r w:rsidRPr="00986EB0">
        <w:rPr>
          <w:rFonts w:ascii="Arial" w:eastAsia="Gadugi" w:hAnsi="Arial" w:cs="Arial"/>
          <w:sz w:val="24"/>
          <w:lang w:bidi="fr-CA"/>
        </w:rPr>
        <w:t>objet d</w:t>
      </w:r>
      <w:r w:rsidR="00DE3A58" w:rsidRPr="00986EB0">
        <w:rPr>
          <w:rFonts w:ascii="Arial" w:eastAsia="Gadugi" w:hAnsi="Arial" w:cs="Arial"/>
          <w:sz w:val="24"/>
          <w:lang w:bidi="fr-CA"/>
        </w:rPr>
        <w:t>’</w:t>
      </w:r>
      <w:r w:rsidRPr="00986EB0">
        <w:rPr>
          <w:rFonts w:ascii="Arial" w:eastAsia="Gadugi" w:hAnsi="Arial" w:cs="Arial"/>
          <w:sz w:val="24"/>
          <w:lang w:bidi="fr-CA"/>
        </w:rPr>
        <w:t>un examen et d</w:t>
      </w:r>
      <w:r w:rsidR="00DE3A58" w:rsidRPr="00986EB0">
        <w:rPr>
          <w:rFonts w:ascii="Arial" w:eastAsia="Gadugi" w:hAnsi="Arial" w:cs="Arial"/>
          <w:sz w:val="24"/>
          <w:lang w:bidi="fr-CA"/>
        </w:rPr>
        <w:t>’</w:t>
      </w:r>
      <w:r w:rsidRPr="00986EB0">
        <w:rPr>
          <w:rFonts w:ascii="Arial" w:eastAsia="Gadugi" w:hAnsi="Arial" w:cs="Arial"/>
          <w:sz w:val="24"/>
          <w:lang w:bidi="fr-CA"/>
        </w:rPr>
        <w:t>une approbation). Le CETES considère que le programme PÉCI, dans son intégralité, constitue essentiellement un tarif. La SÉQ a fourni quelques éclaircissements dans ses réponses aux DI. Le CETES fait remarquer que de nombreux aspects du programme PÉCI qui n</w:t>
      </w:r>
      <w:r w:rsidR="00DE3A58" w:rsidRPr="00986EB0">
        <w:rPr>
          <w:rFonts w:ascii="Arial" w:eastAsia="Gadugi" w:hAnsi="Arial" w:cs="Arial"/>
          <w:sz w:val="24"/>
          <w:lang w:bidi="fr-CA"/>
        </w:rPr>
        <w:t>’</w:t>
      </w:r>
      <w:r w:rsidRPr="00986EB0">
        <w:rPr>
          <w:rFonts w:ascii="Arial" w:eastAsia="Gadugi" w:hAnsi="Arial" w:cs="Arial"/>
          <w:sz w:val="24"/>
          <w:lang w:bidi="fr-CA"/>
        </w:rPr>
        <w:t>ont pas fait l</w:t>
      </w:r>
      <w:r w:rsidR="00DE3A58" w:rsidRPr="00986EB0">
        <w:rPr>
          <w:rFonts w:ascii="Arial" w:eastAsia="Gadugi" w:hAnsi="Arial" w:cs="Arial"/>
          <w:sz w:val="24"/>
          <w:lang w:bidi="fr-CA"/>
        </w:rPr>
        <w:t>’</w:t>
      </w:r>
      <w:r w:rsidRPr="00986EB0">
        <w:rPr>
          <w:rFonts w:ascii="Arial" w:eastAsia="Gadugi" w:hAnsi="Arial" w:cs="Arial"/>
          <w:sz w:val="24"/>
          <w:lang w:bidi="fr-CA"/>
        </w:rPr>
        <w:t>objet d</w:t>
      </w:r>
      <w:r w:rsidR="00DE3A58" w:rsidRPr="00986EB0">
        <w:rPr>
          <w:rFonts w:ascii="Arial" w:eastAsia="Gadugi" w:hAnsi="Arial" w:cs="Arial"/>
          <w:sz w:val="24"/>
          <w:lang w:bidi="fr-CA"/>
        </w:rPr>
        <w:t>’</w:t>
      </w:r>
      <w:r w:rsidRPr="00986EB0">
        <w:rPr>
          <w:rFonts w:ascii="Arial" w:eastAsia="Gadugi" w:hAnsi="Arial" w:cs="Arial"/>
          <w:sz w:val="24"/>
          <w:lang w:bidi="fr-CA"/>
        </w:rPr>
        <w:t>une demande peuvent être importants pour permettre au CETES de comprendre les répercussions du PÉCI au regard de la prémisse globale soumise par la SÉQ. De plus, le CETES s</w:t>
      </w:r>
      <w:r w:rsidR="00DE3A58" w:rsidRPr="00986EB0">
        <w:rPr>
          <w:rFonts w:ascii="Arial" w:eastAsia="Gadugi" w:hAnsi="Arial" w:cs="Arial"/>
          <w:sz w:val="24"/>
          <w:lang w:bidi="fr-CA"/>
        </w:rPr>
        <w:t>’</w:t>
      </w:r>
      <w:r w:rsidRPr="00986EB0">
        <w:rPr>
          <w:rFonts w:ascii="Arial" w:eastAsia="Gadugi" w:hAnsi="Arial" w:cs="Arial"/>
          <w:sz w:val="24"/>
          <w:lang w:bidi="fr-CA"/>
        </w:rPr>
        <w:t>inquiète des chances de succès du programme PÉCI sur la seule base de la demande qui a été soumise. Il semble que la plupart des personnes ayant fait des soumissions publiques ont aussi remis en question le potentiel de succès du programme PÉCI (sur la base de la structure de prix et des autres aspects inconnus du programme).</w:t>
      </w:r>
    </w:p>
    <w:p w14:paraId="29F564FC" w14:textId="34A3320F" w:rsidR="003D56E8" w:rsidRPr="00986EB0" w:rsidRDefault="00AA767F" w:rsidP="00A928FC">
      <w:pPr>
        <w:numPr>
          <w:ilvl w:val="2"/>
          <w:numId w:val="4"/>
        </w:numPr>
        <w:pBdr>
          <w:top w:val="nil"/>
          <w:left w:val="nil"/>
          <w:bottom w:val="nil"/>
          <w:right w:val="nil"/>
          <w:between w:val="nil"/>
        </w:pBdr>
        <w:tabs>
          <w:tab w:val="left" w:pos="885"/>
        </w:tabs>
        <w:spacing w:before="120" w:line="360" w:lineRule="auto"/>
        <w:ind w:left="878" w:right="115"/>
        <w:jc w:val="both"/>
        <w:rPr>
          <w:rFonts w:ascii="Arial" w:hAnsi="Arial" w:cs="Arial"/>
          <w:color w:val="000000"/>
          <w:sz w:val="35"/>
          <w:szCs w:val="35"/>
        </w:rPr>
      </w:pPr>
      <w:r w:rsidRPr="00986EB0">
        <w:rPr>
          <w:rFonts w:ascii="Arial" w:eastAsia="Gadugi" w:hAnsi="Arial" w:cs="Arial"/>
          <w:sz w:val="24"/>
          <w:lang w:bidi="fr-CA"/>
        </w:rPr>
        <w:t>Le CETES rappelle que les programmes PÉCI et PÉI sont en cours d</w:t>
      </w:r>
      <w:r w:rsidR="00DE3A58" w:rsidRPr="00986EB0">
        <w:rPr>
          <w:rFonts w:ascii="Arial" w:eastAsia="Gadugi" w:hAnsi="Arial" w:cs="Arial"/>
          <w:sz w:val="24"/>
          <w:lang w:bidi="fr-CA"/>
        </w:rPr>
        <w:t>’</w:t>
      </w:r>
      <w:r w:rsidRPr="00986EB0">
        <w:rPr>
          <w:rFonts w:ascii="Arial" w:eastAsia="Gadugi" w:hAnsi="Arial" w:cs="Arial"/>
          <w:sz w:val="24"/>
          <w:lang w:bidi="fr-CA"/>
        </w:rPr>
        <w:t>élaboration par la SÉQ. Il semble par ailleurs que les documents AAÉ et ETI soient sur le point d</w:t>
      </w:r>
      <w:r w:rsidR="00DE3A58" w:rsidRPr="00986EB0">
        <w:rPr>
          <w:rFonts w:ascii="Arial" w:eastAsia="Gadugi" w:hAnsi="Arial" w:cs="Arial"/>
          <w:sz w:val="24"/>
          <w:lang w:bidi="fr-CA"/>
        </w:rPr>
        <w:t>’</w:t>
      </w:r>
      <w:r w:rsidRPr="00986EB0">
        <w:rPr>
          <w:rFonts w:ascii="Arial" w:eastAsia="Gadugi" w:hAnsi="Arial" w:cs="Arial"/>
          <w:sz w:val="24"/>
          <w:lang w:bidi="fr-CA"/>
        </w:rPr>
        <w:t>être finalisés. De même, il semble que, d</w:t>
      </w:r>
      <w:r w:rsidR="00DE3A58" w:rsidRPr="00986EB0">
        <w:rPr>
          <w:rFonts w:ascii="Arial" w:eastAsia="Gadugi" w:hAnsi="Arial" w:cs="Arial"/>
          <w:sz w:val="24"/>
          <w:lang w:bidi="fr-CA"/>
        </w:rPr>
        <w:t>’</w:t>
      </w:r>
      <w:r w:rsidRPr="00986EB0">
        <w:rPr>
          <w:rFonts w:ascii="Arial" w:eastAsia="Gadugi" w:hAnsi="Arial" w:cs="Arial"/>
          <w:sz w:val="24"/>
          <w:lang w:bidi="fr-CA"/>
        </w:rPr>
        <w:t>après les réponses aux DI, la SÉQ soit sur le point de finaliser d</w:t>
      </w:r>
      <w:r w:rsidR="00DE3A58" w:rsidRPr="00986EB0">
        <w:rPr>
          <w:rFonts w:ascii="Arial" w:eastAsia="Gadugi" w:hAnsi="Arial" w:cs="Arial"/>
          <w:sz w:val="24"/>
          <w:lang w:bidi="fr-CA"/>
        </w:rPr>
        <w:t>’</w:t>
      </w:r>
      <w:r w:rsidRPr="00986EB0">
        <w:rPr>
          <w:rFonts w:ascii="Arial" w:eastAsia="Gadugi" w:hAnsi="Arial" w:cs="Arial"/>
          <w:sz w:val="24"/>
          <w:lang w:bidi="fr-CA"/>
        </w:rPr>
        <w:t>autres aspects du programme PÉCI. Qui plus est, le programme PÉCI semble susciter un certain intérêt, comme en témoignent les mentions d</w:t>
      </w:r>
      <w:r w:rsidR="00DE3A58" w:rsidRPr="00986EB0">
        <w:rPr>
          <w:rFonts w:ascii="Arial" w:eastAsia="Gadugi" w:hAnsi="Arial" w:cs="Arial"/>
          <w:sz w:val="24"/>
          <w:lang w:bidi="fr-CA"/>
        </w:rPr>
        <w:t>’</w:t>
      </w:r>
      <w:r w:rsidRPr="00986EB0">
        <w:rPr>
          <w:rFonts w:ascii="Arial" w:eastAsia="Gadugi" w:hAnsi="Arial" w:cs="Arial"/>
          <w:sz w:val="24"/>
          <w:lang w:bidi="fr-CA"/>
        </w:rPr>
        <w:t>intérêt reçues à ce jour. Le CETES n</w:t>
      </w:r>
      <w:r w:rsidR="00DE3A58" w:rsidRPr="00986EB0">
        <w:rPr>
          <w:rFonts w:ascii="Arial" w:eastAsia="Gadugi" w:hAnsi="Arial" w:cs="Arial"/>
          <w:sz w:val="24"/>
          <w:lang w:bidi="fr-CA"/>
        </w:rPr>
        <w:t>’</w:t>
      </w:r>
      <w:r w:rsidRPr="00986EB0">
        <w:rPr>
          <w:rFonts w:ascii="Arial" w:eastAsia="Gadugi" w:hAnsi="Arial" w:cs="Arial"/>
          <w:sz w:val="24"/>
          <w:lang w:bidi="fr-CA"/>
        </w:rPr>
        <w:t>a pas d</w:t>
      </w:r>
      <w:r w:rsidR="00DE3A58" w:rsidRPr="00986EB0">
        <w:rPr>
          <w:rFonts w:ascii="Arial" w:eastAsia="Gadugi" w:hAnsi="Arial" w:cs="Arial"/>
          <w:sz w:val="24"/>
          <w:lang w:bidi="fr-CA"/>
        </w:rPr>
        <w:t>’</w:t>
      </w:r>
      <w:r w:rsidRPr="00986EB0">
        <w:rPr>
          <w:rFonts w:ascii="Arial" w:eastAsia="Gadugi" w:hAnsi="Arial" w:cs="Arial"/>
          <w:sz w:val="24"/>
          <w:lang w:bidi="fr-CA"/>
        </w:rPr>
        <w:t>opinion sur le calendrier ou la probabilité de réalisation de l</w:t>
      </w:r>
      <w:r w:rsidR="00DE3A58" w:rsidRPr="00986EB0">
        <w:rPr>
          <w:rFonts w:ascii="Arial" w:eastAsia="Gadugi" w:hAnsi="Arial" w:cs="Arial"/>
          <w:sz w:val="24"/>
          <w:lang w:bidi="fr-CA"/>
        </w:rPr>
        <w:t>’</w:t>
      </w:r>
      <w:r w:rsidRPr="00986EB0">
        <w:rPr>
          <w:rFonts w:ascii="Arial" w:eastAsia="Gadugi" w:hAnsi="Arial" w:cs="Arial"/>
          <w:sz w:val="24"/>
          <w:lang w:bidi="fr-CA"/>
        </w:rPr>
        <w:t>un ou l</w:t>
      </w:r>
      <w:r w:rsidR="00DE3A58" w:rsidRPr="00986EB0">
        <w:rPr>
          <w:rFonts w:ascii="Arial" w:eastAsia="Gadugi" w:hAnsi="Arial" w:cs="Arial"/>
          <w:sz w:val="24"/>
          <w:lang w:bidi="fr-CA"/>
        </w:rPr>
        <w:t>’</w:t>
      </w:r>
      <w:r w:rsidRPr="00986EB0">
        <w:rPr>
          <w:rFonts w:ascii="Arial" w:eastAsia="Gadugi" w:hAnsi="Arial" w:cs="Arial"/>
          <w:sz w:val="24"/>
          <w:lang w:bidi="fr-CA"/>
        </w:rPr>
        <w:t>autre de ces projets. Le CETES ne dispose pas de suffisamment de données pour savoir comment le déploiement du programme PÉCI prévu par la SÉQ concorde avec les plans de ceux qui planifient des projets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au Nunavut.</w:t>
      </w:r>
    </w:p>
    <w:p w14:paraId="462FD9C9" w14:textId="02D07F91" w:rsidR="003D56E8" w:rsidRPr="00986EB0" w:rsidRDefault="00AA767F">
      <w:pPr>
        <w:numPr>
          <w:ilvl w:val="2"/>
          <w:numId w:val="4"/>
        </w:numPr>
        <w:pBdr>
          <w:top w:val="nil"/>
          <w:left w:val="nil"/>
          <w:bottom w:val="nil"/>
          <w:right w:val="nil"/>
          <w:between w:val="nil"/>
        </w:pBdr>
        <w:tabs>
          <w:tab w:val="left" w:pos="885"/>
        </w:tabs>
        <w:spacing w:line="360" w:lineRule="auto"/>
        <w:ind w:right="117"/>
        <w:rPr>
          <w:rFonts w:ascii="Arial" w:hAnsi="Arial" w:cs="Arial"/>
          <w:sz w:val="24"/>
          <w:szCs w:val="24"/>
        </w:rPr>
        <w:sectPr w:rsidR="003D56E8" w:rsidRPr="00986EB0">
          <w:pgSz w:w="12240" w:h="15840"/>
          <w:pgMar w:top="1411" w:right="1310" w:bottom="1138" w:left="1310" w:header="720" w:footer="720" w:gutter="0"/>
          <w:cols w:space="720" w:equalWidth="0">
            <w:col w:w="9360"/>
          </w:cols>
        </w:sectPr>
      </w:pPr>
      <w:r w:rsidRPr="00986EB0">
        <w:rPr>
          <w:rFonts w:ascii="Arial" w:eastAsia="Gadugi" w:hAnsi="Arial" w:cs="Arial"/>
          <w:sz w:val="24"/>
          <w:lang w:bidi="fr-CA"/>
        </w:rPr>
        <w:t>De plus, le CETES ne possède pas d</w:t>
      </w:r>
      <w:r w:rsidR="00DE3A58" w:rsidRPr="00986EB0">
        <w:rPr>
          <w:rFonts w:ascii="Arial" w:eastAsia="Gadugi" w:hAnsi="Arial" w:cs="Arial"/>
          <w:sz w:val="24"/>
          <w:lang w:bidi="fr-CA"/>
        </w:rPr>
        <w:t>’</w:t>
      </w:r>
      <w:r w:rsidRPr="00986EB0">
        <w:rPr>
          <w:rFonts w:ascii="Arial" w:eastAsia="Gadugi" w:hAnsi="Arial" w:cs="Arial"/>
          <w:sz w:val="24"/>
          <w:lang w:bidi="fr-CA"/>
        </w:rPr>
        <w:t>assez d</w:t>
      </w:r>
      <w:r w:rsidR="00DE3A58" w:rsidRPr="00986EB0">
        <w:rPr>
          <w:rFonts w:ascii="Arial" w:eastAsia="Gadugi" w:hAnsi="Arial" w:cs="Arial"/>
          <w:sz w:val="24"/>
          <w:lang w:bidi="fr-CA"/>
        </w:rPr>
        <w:t>’</w:t>
      </w:r>
      <w:r w:rsidRPr="00986EB0">
        <w:rPr>
          <w:rFonts w:ascii="Arial" w:eastAsia="Gadugi" w:hAnsi="Arial" w:cs="Arial"/>
          <w:sz w:val="24"/>
          <w:lang w:bidi="fr-CA"/>
        </w:rPr>
        <w:t>information pour savoir si un promoteur PÉCI potentiel irait ou non de l</w:t>
      </w:r>
      <w:r w:rsidR="00DE3A58" w:rsidRPr="00986EB0">
        <w:rPr>
          <w:rFonts w:ascii="Arial" w:eastAsia="Gadugi" w:hAnsi="Arial" w:cs="Arial"/>
          <w:sz w:val="24"/>
          <w:lang w:bidi="fr-CA"/>
        </w:rPr>
        <w:t>’</w:t>
      </w:r>
      <w:r w:rsidRPr="00986EB0">
        <w:rPr>
          <w:rFonts w:ascii="Arial" w:eastAsia="Gadugi" w:hAnsi="Arial" w:cs="Arial"/>
          <w:sz w:val="24"/>
          <w:lang w:bidi="fr-CA"/>
        </w:rPr>
        <w:t>avant avec un projet basé uniquement sur l</w:t>
      </w:r>
      <w:r w:rsidR="00DE3A58" w:rsidRPr="00986EB0">
        <w:rPr>
          <w:rFonts w:ascii="Arial" w:eastAsia="Gadugi" w:hAnsi="Arial" w:cs="Arial"/>
          <w:sz w:val="24"/>
          <w:lang w:bidi="fr-CA"/>
        </w:rPr>
        <w:t>’</w:t>
      </w:r>
      <w:r w:rsidRPr="00986EB0">
        <w:rPr>
          <w:rFonts w:ascii="Arial" w:eastAsia="Gadugi" w:hAnsi="Arial" w:cs="Arial"/>
          <w:sz w:val="24"/>
          <w:lang w:bidi="fr-CA"/>
        </w:rPr>
        <w:t xml:space="preserve">approbation de la structure de prix du PÉCI qui a été </w:t>
      </w:r>
      <w:r w:rsidRPr="00986EB0">
        <w:rPr>
          <w:rFonts w:ascii="Arial" w:eastAsia="Gadugi" w:hAnsi="Arial" w:cs="Arial"/>
          <w:sz w:val="24"/>
          <w:lang w:bidi="fr-CA"/>
        </w:rPr>
        <w:lastRenderedPageBreak/>
        <w:t>demandée par la SÉQ.</w:t>
      </w:r>
    </w:p>
    <w:p w14:paraId="78D31C8F" w14:textId="77777777" w:rsidR="00A928FC" w:rsidRPr="00986EB0" w:rsidRDefault="00A928FC" w:rsidP="00A928FC">
      <w:pPr>
        <w:rPr>
          <w:rFonts w:ascii="Arial" w:hAnsi="Arial" w:cs="Arial"/>
        </w:rPr>
      </w:pPr>
      <w:bookmarkStart w:id="19" w:name="bookmark=id.z337ya" w:colFirst="0" w:colLast="0"/>
      <w:bookmarkStart w:id="20" w:name="_heading=h.3j2qqm3" w:colFirst="0" w:colLast="0"/>
      <w:bookmarkEnd w:id="19"/>
      <w:bookmarkEnd w:id="20"/>
    </w:p>
    <w:p w14:paraId="34C2BD60" w14:textId="43DC631D" w:rsidR="003D56E8" w:rsidRPr="00986EB0" w:rsidRDefault="00AA767F" w:rsidP="00FD4CC3">
      <w:pPr>
        <w:pStyle w:val="URRCHeading1"/>
        <w:rPr>
          <w:rFonts w:ascii="Arial" w:hAnsi="Arial" w:cs="Arial"/>
        </w:rPr>
      </w:pPr>
      <w:r w:rsidRPr="00986EB0">
        <w:rPr>
          <w:rFonts w:ascii="Arial" w:eastAsia="Gadugi" w:hAnsi="Arial" w:cs="Arial"/>
          <w:lang w:bidi="fr-CA"/>
        </w:rPr>
        <w:t>RECOMMANDATION DU CETES</w:t>
      </w:r>
    </w:p>
    <w:p w14:paraId="2DE7DF0C" w14:textId="77777777" w:rsidR="003D56E8" w:rsidRPr="00986EB0" w:rsidRDefault="003D56E8" w:rsidP="00A928FC">
      <w:pPr>
        <w:tabs>
          <w:tab w:val="left" w:pos="819"/>
        </w:tabs>
        <w:ind w:left="101"/>
        <w:rPr>
          <w:rFonts w:ascii="Arial" w:hAnsi="Arial" w:cs="Arial"/>
          <w:b/>
          <w:sz w:val="24"/>
          <w:szCs w:val="24"/>
        </w:rPr>
      </w:pPr>
    </w:p>
    <w:p w14:paraId="33649AAA" w14:textId="77777777" w:rsidR="003D56E8" w:rsidRPr="00986EB0" w:rsidRDefault="00AA767F" w:rsidP="00A876E8">
      <w:pPr>
        <w:widowControl/>
        <w:numPr>
          <w:ilvl w:val="2"/>
          <w:numId w:val="4"/>
        </w:numPr>
        <w:pBdr>
          <w:top w:val="nil"/>
          <w:left w:val="nil"/>
          <w:bottom w:val="nil"/>
          <w:right w:val="nil"/>
          <w:between w:val="nil"/>
        </w:pBdr>
        <w:tabs>
          <w:tab w:val="left" w:pos="885"/>
        </w:tabs>
        <w:spacing w:line="360" w:lineRule="auto"/>
        <w:ind w:left="878"/>
        <w:jc w:val="both"/>
        <w:rPr>
          <w:rFonts w:ascii="Arial" w:hAnsi="Arial" w:cs="Arial"/>
          <w:color w:val="000000"/>
          <w:sz w:val="24"/>
          <w:szCs w:val="24"/>
        </w:rPr>
      </w:pPr>
      <w:r w:rsidRPr="00986EB0">
        <w:rPr>
          <w:rFonts w:ascii="Arial" w:eastAsia="Gadugi" w:hAnsi="Arial" w:cs="Arial"/>
          <w:sz w:val="24"/>
          <w:lang w:bidi="fr-CA"/>
        </w:rPr>
        <w:t>Considérant ce qui précède, le CETES recommande que le ministre donne les instructions suivantes à la SÉQ :</w:t>
      </w:r>
    </w:p>
    <w:p w14:paraId="358E344A" w14:textId="3F532D2B"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4"/>
          <w:szCs w:val="24"/>
        </w:rPr>
      </w:pPr>
      <w:r w:rsidRPr="00986EB0">
        <w:rPr>
          <w:rFonts w:ascii="Arial" w:eastAsia="Gadugi" w:hAnsi="Arial" w:cs="Arial"/>
          <w:sz w:val="24"/>
          <w:lang w:bidi="fr-CA"/>
        </w:rPr>
        <w:t>Que la demande d</w:t>
      </w:r>
      <w:r w:rsidR="00DE3A58" w:rsidRPr="00986EB0">
        <w:rPr>
          <w:rFonts w:ascii="Arial" w:eastAsia="Gadugi" w:hAnsi="Arial" w:cs="Arial"/>
          <w:sz w:val="24"/>
          <w:lang w:bidi="fr-CA"/>
        </w:rPr>
        <w:t>’</w:t>
      </w:r>
      <w:r w:rsidRPr="00986EB0">
        <w:rPr>
          <w:rFonts w:ascii="Arial" w:eastAsia="Gadugi" w:hAnsi="Arial" w:cs="Arial"/>
          <w:sz w:val="24"/>
          <w:lang w:bidi="fr-CA"/>
        </w:rPr>
        <w:t>approbation de l</w:t>
      </w:r>
      <w:r w:rsidR="00DE3A58" w:rsidRPr="00986EB0">
        <w:rPr>
          <w:rFonts w:ascii="Arial" w:eastAsia="Gadugi" w:hAnsi="Arial" w:cs="Arial"/>
          <w:sz w:val="24"/>
          <w:lang w:bidi="fr-CA"/>
        </w:rPr>
        <w:t>’</w:t>
      </w:r>
      <w:r w:rsidRPr="00986EB0">
        <w:rPr>
          <w:rFonts w:ascii="Arial" w:eastAsia="Gadugi" w:hAnsi="Arial" w:cs="Arial"/>
          <w:sz w:val="24"/>
          <w:lang w:bidi="fr-CA"/>
        </w:rPr>
        <w:t>Option 3, telle que décrite dans les réponses de la demande et des demandes d</w:t>
      </w:r>
      <w:r w:rsidR="00DE3A58" w:rsidRPr="00986EB0">
        <w:rPr>
          <w:rFonts w:ascii="Arial" w:eastAsia="Gadugi" w:hAnsi="Arial" w:cs="Arial"/>
          <w:sz w:val="24"/>
          <w:lang w:bidi="fr-CA"/>
        </w:rPr>
        <w:t>’</w:t>
      </w:r>
      <w:r w:rsidRPr="00986EB0">
        <w:rPr>
          <w:rFonts w:ascii="Arial" w:eastAsia="Gadugi" w:hAnsi="Arial" w:cs="Arial"/>
          <w:sz w:val="24"/>
          <w:lang w:bidi="fr-CA"/>
        </w:rPr>
        <w:t>information, soit refusée pour le moment.</w:t>
      </w:r>
    </w:p>
    <w:p w14:paraId="2B78CE21" w14:textId="034ED8CB"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4"/>
          <w:szCs w:val="24"/>
        </w:rPr>
      </w:pPr>
      <w:r w:rsidRPr="00986EB0">
        <w:rPr>
          <w:rFonts w:ascii="Arial" w:eastAsia="Gadugi" w:hAnsi="Arial" w:cs="Arial"/>
          <w:sz w:val="24"/>
          <w:lang w:bidi="fr-CA"/>
        </w:rPr>
        <w:t>Que la SÉQ s</w:t>
      </w:r>
      <w:r w:rsidR="00DE3A58" w:rsidRPr="00986EB0">
        <w:rPr>
          <w:rFonts w:ascii="Arial" w:eastAsia="Gadugi" w:hAnsi="Arial" w:cs="Arial"/>
          <w:sz w:val="24"/>
          <w:lang w:bidi="fr-CA"/>
        </w:rPr>
        <w:t>’</w:t>
      </w:r>
      <w:r w:rsidRPr="00986EB0">
        <w:rPr>
          <w:rFonts w:ascii="Arial" w:eastAsia="Gadugi" w:hAnsi="Arial" w:cs="Arial"/>
          <w:sz w:val="24"/>
          <w:lang w:bidi="fr-CA"/>
        </w:rPr>
        <w:t>engage directement auprès des parties prenantes de sa cha</w:t>
      </w:r>
      <w:r w:rsidR="00DE3A58" w:rsidRPr="00986EB0">
        <w:rPr>
          <w:rFonts w:ascii="Arial" w:eastAsia="Gadugi" w:hAnsi="Arial" w:cs="Arial"/>
          <w:sz w:val="24"/>
          <w:lang w:bidi="fr-CA"/>
        </w:rPr>
        <w:t>i</w:t>
      </w:r>
      <w:r w:rsidRPr="00986EB0">
        <w:rPr>
          <w:rFonts w:ascii="Arial" w:eastAsia="Gadugi" w:hAnsi="Arial" w:cs="Arial"/>
          <w:sz w:val="24"/>
          <w:lang w:bidi="fr-CA"/>
        </w:rPr>
        <w:t>ne d</w:t>
      </w:r>
      <w:r w:rsidR="00DE3A58" w:rsidRPr="00986EB0">
        <w:rPr>
          <w:rFonts w:ascii="Arial" w:eastAsia="Gadugi" w:hAnsi="Arial" w:cs="Arial"/>
          <w:sz w:val="24"/>
          <w:lang w:bidi="fr-CA"/>
        </w:rPr>
        <w:t>’</w:t>
      </w:r>
      <w:r w:rsidRPr="00986EB0">
        <w:rPr>
          <w:rFonts w:ascii="Arial" w:eastAsia="Gadugi" w:hAnsi="Arial" w:cs="Arial"/>
          <w:sz w:val="24"/>
          <w:lang w:bidi="fr-CA"/>
        </w:rPr>
        <w:t>approvisionnement pour déterminer tout autre co</w:t>
      </w:r>
      <w:r w:rsidR="00DE3A58" w:rsidRPr="00986EB0">
        <w:rPr>
          <w:rFonts w:ascii="Arial" w:eastAsia="Gadugi" w:hAnsi="Arial" w:cs="Arial"/>
          <w:sz w:val="24"/>
          <w:lang w:bidi="fr-CA"/>
        </w:rPr>
        <w:t>u</w:t>
      </w:r>
      <w:r w:rsidRPr="00986EB0">
        <w:rPr>
          <w:rFonts w:ascii="Arial" w:eastAsia="Gadugi" w:hAnsi="Arial" w:cs="Arial"/>
          <w:sz w:val="24"/>
          <w:lang w:bidi="fr-CA"/>
        </w:rPr>
        <w:t>t potentiel évité lié à l</w:t>
      </w:r>
      <w:r w:rsidR="00DE3A58" w:rsidRPr="00986EB0">
        <w:rPr>
          <w:rFonts w:ascii="Arial" w:eastAsia="Gadugi" w:hAnsi="Arial" w:cs="Arial"/>
          <w:sz w:val="24"/>
          <w:lang w:bidi="fr-CA"/>
        </w:rPr>
        <w:t>’</w:t>
      </w:r>
      <w:r w:rsidRPr="00986EB0">
        <w:rPr>
          <w:rFonts w:ascii="Arial" w:eastAsia="Gadugi" w:hAnsi="Arial" w:cs="Arial"/>
          <w:sz w:val="24"/>
          <w:lang w:bidi="fr-CA"/>
        </w:rPr>
        <w:t>introduction de la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w:t>
      </w:r>
    </w:p>
    <w:p w14:paraId="54889A42" w14:textId="1F5D1361"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4"/>
          <w:szCs w:val="24"/>
        </w:rPr>
      </w:pPr>
      <w:r w:rsidRPr="00986EB0">
        <w:rPr>
          <w:rFonts w:ascii="Arial" w:eastAsia="Gadugi" w:hAnsi="Arial" w:cs="Arial"/>
          <w:sz w:val="24"/>
          <w:lang w:bidi="fr-CA"/>
        </w:rPr>
        <w:t>Que la SÉQ s</w:t>
      </w:r>
      <w:r w:rsidR="00DE3A58" w:rsidRPr="00986EB0">
        <w:rPr>
          <w:rFonts w:ascii="Arial" w:eastAsia="Gadugi" w:hAnsi="Arial" w:cs="Arial"/>
          <w:sz w:val="24"/>
          <w:lang w:bidi="fr-CA"/>
        </w:rPr>
        <w:t>’</w:t>
      </w:r>
      <w:r w:rsidRPr="00986EB0">
        <w:rPr>
          <w:rFonts w:ascii="Arial" w:eastAsia="Gadugi" w:hAnsi="Arial" w:cs="Arial"/>
          <w:sz w:val="24"/>
          <w:lang w:bidi="fr-CA"/>
        </w:rPr>
        <w:t>engage directement auprès des autres ministères et des organisations privées qui développent actuellement ou planifient activement la mise au point et l</w:t>
      </w:r>
      <w:r w:rsidR="00DE3A58" w:rsidRPr="00986EB0">
        <w:rPr>
          <w:rFonts w:ascii="Arial" w:eastAsia="Gadugi" w:hAnsi="Arial" w:cs="Arial"/>
          <w:sz w:val="24"/>
          <w:lang w:bidi="fr-CA"/>
        </w:rPr>
        <w:t>’</w:t>
      </w:r>
      <w:r w:rsidRPr="00986EB0">
        <w:rPr>
          <w:rFonts w:ascii="Arial" w:eastAsia="Gadugi" w:hAnsi="Arial" w:cs="Arial"/>
          <w:sz w:val="24"/>
          <w:lang w:bidi="fr-CA"/>
        </w:rPr>
        <w:t>installation de systèmes de production d</w:t>
      </w:r>
      <w:r w:rsidR="00DE3A58" w:rsidRPr="00986EB0">
        <w:rPr>
          <w:rFonts w:ascii="Arial" w:eastAsia="Gadugi" w:hAnsi="Arial" w:cs="Arial"/>
          <w:sz w:val="24"/>
          <w:lang w:bidi="fr-CA"/>
        </w:rPr>
        <w:t>’</w:t>
      </w:r>
      <w:r w:rsidRPr="00986EB0">
        <w:rPr>
          <w:rFonts w:ascii="Arial" w:eastAsia="Gadugi" w:hAnsi="Arial" w:cs="Arial"/>
          <w:sz w:val="24"/>
          <w:lang w:bidi="fr-CA"/>
        </w:rPr>
        <w:t>énergie renouvelable à l</w:t>
      </w:r>
      <w:r w:rsidR="00DE3A58" w:rsidRPr="00986EB0">
        <w:rPr>
          <w:rFonts w:ascii="Arial" w:eastAsia="Gadugi" w:hAnsi="Arial" w:cs="Arial"/>
          <w:sz w:val="24"/>
          <w:lang w:bidi="fr-CA"/>
        </w:rPr>
        <w:t>’</w:t>
      </w:r>
      <w:r w:rsidRPr="00986EB0">
        <w:rPr>
          <w:rFonts w:ascii="Arial" w:eastAsia="Gadugi" w:hAnsi="Arial" w:cs="Arial"/>
          <w:sz w:val="24"/>
          <w:lang w:bidi="fr-CA"/>
        </w:rPr>
        <w:t>échelle commerciale au Nunavut afin de mieux comprendre les exigences financières de ces projets.</w:t>
      </w:r>
    </w:p>
    <w:p w14:paraId="1792C0C1" w14:textId="3D03B97F"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4"/>
          <w:szCs w:val="24"/>
        </w:rPr>
      </w:pPr>
      <w:r w:rsidRPr="00986EB0">
        <w:rPr>
          <w:rFonts w:ascii="Arial" w:eastAsia="Gadugi" w:hAnsi="Arial" w:cs="Arial"/>
          <w:sz w:val="24"/>
          <w:lang w:bidi="fr-CA"/>
        </w:rPr>
        <w:t>Que la SÉQ donne suite aux nombreuses inquiétudes exprimées dans ce rapport au sujet de sa structure tarifaire dans toute nouvelle demande PÉCI.</w:t>
      </w:r>
    </w:p>
    <w:p w14:paraId="73F9595E" w14:textId="0703C7A2"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color w:val="000000"/>
          <w:sz w:val="24"/>
          <w:szCs w:val="24"/>
        </w:rPr>
      </w:pPr>
      <w:r w:rsidRPr="00986EB0">
        <w:rPr>
          <w:rFonts w:ascii="Arial" w:eastAsia="Gadugi" w:hAnsi="Arial" w:cs="Arial"/>
          <w:sz w:val="24"/>
          <w:lang w:bidi="fr-CA"/>
        </w:rPr>
        <w:t>Que la SÉQ présente une nouvelle demande d</w:t>
      </w:r>
      <w:r w:rsidR="00DE3A58" w:rsidRPr="00986EB0">
        <w:rPr>
          <w:rFonts w:ascii="Arial" w:eastAsia="Gadugi" w:hAnsi="Arial" w:cs="Arial"/>
          <w:sz w:val="24"/>
          <w:lang w:bidi="fr-CA"/>
        </w:rPr>
        <w:t>’</w:t>
      </w:r>
      <w:r w:rsidRPr="00986EB0">
        <w:rPr>
          <w:rFonts w:ascii="Arial" w:eastAsia="Gadugi" w:hAnsi="Arial" w:cs="Arial"/>
          <w:sz w:val="24"/>
          <w:lang w:bidi="fr-CA"/>
        </w:rPr>
        <w:t>approbation PÉCI dans son intégralité lorsque tous les aspects du programme seront prêts à être approuvés, peut-être lorsque le PÉI sera également prêt à être soumis.</w:t>
      </w:r>
    </w:p>
    <w:p w14:paraId="3FE66043" w14:textId="3A892D8C" w:rsidR="003D56E8" w:rsidRPr="00986EB0"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rFonts w:ascii="Arial" w:hAnsi="Arial" w:cs="Arial"/>
          <w:sz w:val="24"/>
          <w:szCs w:val="24"/>
        </w:rPr>
      </w:pPr>
      <w:r w:rsidRPr="00986EB0">
        <w:rPr>
          <w:rFonts w:ascii="Arial" w:eastAsia="Gadugi" w:hAnsi="Arial" w:cs="Arial"/>
          <w:sz w:val="24"/>
          <w:lang w:bidi="fr-CA"/>
        </w:rPr>
        <w:t>Que si de nouvelles subventions, avantages, incitatifs ou économies de co</w:t>
      </w:r>
      <w:r w:rsidR="00DE3A58" w:rsidRPr="00986EB0">
        <w:rPr>
          <w:rFonts w:ascii="Arial" w:eastAsia="Gadugi" w:hAnsi="Arial" w:cs="Arial"/>
          <w:sz w:val="24"/>
          <w:lang w:bidi="fr-CA"/>
        </w:rPr>
        <w:t>u</w:t>
      </w:r>
      <w:r w:rsidRPr="00986EB0">
        <w:rPr>
          <w:rFonts w:ascii="Arial" w:eastAsia="Gadugi" w:hAnsi="Arial" w:cs="Arial"/>
          <w:sz w:val="24"/>
          <w:lang w:bidi="fr-CA"/>
        </w:rPr>
        <w:t>ts liés aux énergies renouvelables sont relevés par le GN ou ailleurs, ils soient mis à la disposition de la SÉQ afin qu</w:t>
      </w:r>
      <w:r w:rsidR="00DE3A58" w:rsidRPr="00986EB0">
        <w:rPr>
          <w:rFonts w:ascii="Arial" w:eastAsia="Gadugi" w:hAnsi="Arial" w:cs="Arial"/>
          <w:sz w:val="24"/>
          <w:lang w:bidi="fr-CA"/>
        </w:rPr>
        <w:t>’</w:t>
      </w:r>
      <w:r w:rsidRPr="00986EB0">
        <w:rPr>
          <w:rFonts w:ascii="Arial" w:eastAsia="Gadugi" w:hAnsi="Arial" w:cs="Arial"/>
          <w:sz w:val="24"/>
          <w:lang w:bidi="fr-CA"/>
        </w:rPr>
        <w:t>ils puissent être propagés aux promoteurs PÉCI dans le prix du PÉCI.</w:t>
      </w:r>
    </w:p>
    <w:p w14:paraId="4ACEC26B" w14:textId="77777777" w:rsidR="00A876E8" w:rsidRPr="00986EB0" w:rsidRDefault="00A876E8" w:rsidP="00A876E8">
      <w:pPr>
        <w:pBdr>
          <w:top w:val="nil"/>
          <w:left w:val="nil"/>
          <w:bottom w:val="nil"/>
          <w:right w:val="nil"/>
          <w:between w:val="nil"/>
        </w:pBdr>
        <w:tabs>
          <w:tab w:val="left" w:pos="1540"/>
        </w:tabs>
        <w:spacing w:before="60" w:line="360" w:lineRule="auto"/>
        <w:ind w:left="1181" w:right="115"/>
        <w:jc w:val="both"/>
        <w:rPr>
          <w:rFonts w:ascii="Arial" w:hAnsi="Arial" w:cs="Arial"/>
          <w:sz w:val="24"/>
          <w:szCs w:val="24"/>
        </w:rPr>
      </w:pPr>
    </w:p>
    <w:p w14:paraId="3873F097" w14:textId="5EA012A6" w:rsidR="003D56E8" w:rsidRPr="00986EB0" w:rsidRDefault="00AA767F" w:rsidP="00A876E8">
      <w:pPr>
        <w:keepNext/>
        <w:keepLines/>
        <w:widowControl/>
        <w:numPr>
          <w:ilvl w:val="2"/>
          <w:numId w:val="4"/>
        </w:numPr>
        <w:pBdr>
          <w:top w:val="nil"/>
          <w:left w:val="nil"/>
          <w:bottom w:val="nil"/>
          <w:right w:val="nil"/>
          <w:between w:val="nil"/>
        </w:pBdr>
        <w:tabs>
          <w:tab w:val="left" w:pos="885"/>
        </w:tabs>
        <w:spacing w:line="360" w:lineRule="auto"/>
        <w:ind w:left="878" w:right="115"/>
        <w:jc w:val="both"/>
        <w:rPr>
          <w:rFonts w:ascii="Arial" w:hAnsi="Arial" w:cs="Arial"/>
          <w:color w:val="000000"/>
          <w:sz w:val="24"/>
          <w:szCs w:val="24"/>
        </w:rPr>
      </w:pPr>
      <w:r w:rsidRPr="00986EB0">
        <w:rPr>
          <w:rFonts w:ascii="Arial" w:eastAsia="Gadugi" w:hAnsi="Arial" w:cs="Arial"/>
          <w:sz w:val="24"/>
          <w:lang w:bidi="fr-CA"/>
        </w:rPr>
        <w:lastRenderedPageBreak/>
        <w:t>Le présent rapport ne porte d’aucune manière atteinte à la capacité du CETES d’examiner d’autres questions ayant trait à la SÉQ.</w:t>
      </w:r>
    </w:p>
    <w:p w14:paraId="52E1B03D" w14:textId="77777777" w:rsidR="003D56E8" w:rsidRPr="00986EB0" w:rsidRDefault="003D56E8" w:rsidP="00A876E8">
      <w:pPr>
        <w:keepNext/>
        <w:keepLines/>
        <w:widowControl/>
        <w:pBdr>
          <w:top w:val="nil"/>
          <w:left w:val="nil"/>
          <w:bottom w:val="nil"/>
          <w:right w:val="nil"/>
          <w:between w:val="nil"/>
        </w:pBdr>
        <w:rPr>
          <w:rFonts w:ascii="Arial" w:hAnsi="Arial" w:cs="Arial"/>
          <w:color w:val="000000"/>
          <w:sz w:val="26"/>
          <w:szCs w:val="26"/>
        </w:rPr>
      </w:pPr>
    </w:p>
    <w:p w14:paraId="3931988B" w14:textId="77777777" w:rsidR="003D56E8" w:rsidRPr="00986EB0" w:rsidRDefault="00AA767F" w:rsidP="00A876E8">
      <w:pPr>
        <w:pStyle w:val="Titre1"/>
        <w:keepNext/>
        <w:keepLines/>
        <w:widowControl/>
        <w:ind w:firstLine="515"/>
        <w:rPr>
          <w:rFonts w:ascii="Arial" w:hAnsi="Arial" w:cs="Arial"/>
        </w:rPr>
      </w:pPr>
      <w:r w:rsidRPr="00986EB0">
        <w:rPr>
          <w:rFonts w:ascii="Arial" w:eastAsia="Gadugi" w:hAnsi="Arial" w:cs="Arial"/>
          <w:lang w:bidi="fr-CA"/>
        </w:rPr>
        <w:t>AU NOM DU</w:t>
      </w:r>
    </w:p>
    <w:p w14:paraId="5FFC8952" w14:textId="77777777" w:rsidR="003D56E8" w:rsidRPr="00986EB0" w:rsidRDefault="003D56E8" w:rsidP="00A876E8">
      <w:pPr>
        <w:keepNext/>
        <w:keepLines/>
        <w:widowControl/>
        <w:pBdr>
          <w:top w:val="nil"/>
          <w:left w:val="nil"/>
          <w:bottom w:val="nil"/>
          <w:right w:val="nil"/>
          <w:between w:val="nil"/>
        </w:pBdr>
        <w:rPr>
          <w:rFonts w:ascii="Arial" w:hAnsi="Arial" w:cs="Arial"/>
          <w:b/>
          <w:color w:val="000000"/>
        </w:rPr>
      </w:pPr>
    </w:p>
    <w:p w14:paraId="762D0ADE" w14:textId="77777777" w:rsidR="003D56E8" w:rsidRPr="00986EB0" w:rsidRDefault="00AA767F" w:rsidP="00A876E8">
      <w:pPr>
        <w:keepNext/>
        <w:keepLines/>
        <w:widowControl/>
        <w:ind w:left="2980"/>
        <w:rPr>
          <w:rFonts w:ascii="Arial" w:hAnsi="Arial" w:cs="Arial"/>
          <w:b/>
          <w:sz w:val="24"/>
          <w:szCs w:val="24"/>
        </w:rPr>
      </w:pPr>
      <w:r w:rsidRPr="00986EB0">
        <w:rPr>
          <w:rFonts w:ascii="Arial" w:eastAsia="Gadugi" w:hAnsi="Arial" w:cs="Arial"/>
          <w:b/>
          <w:sz w:val="24"/>
          <w:lang w:bidi="fr-CA"/>
        </w:rPr>
        <w:t>CONSEIL D’EXAMEN DES TAUX DES ENTREPRISES DE SERVICES DU NUNAVUT</w:t>
      </w:r>
    </w:p>
    <w:p w14:paraId="3906DF0F" w14:textId="77777777" w:rsidR="003D56E8" w:rsidRPr="00986EB0" w:rsidRDefault="003D56E8" w:rsidP="00A876E8">
      <w:pPr>
        <w:keepNext/>
        <w:keepLines/>
        <w:widowControl/>
        <w:pBdr>
          <w:top w:val="nil"/>
          <w:left w:val="nil"/>
          <w:bottom w:val="nil"/>
          <w:right w:val="nil"/>
          <w:between w:val="nil"/>
        </w:pBdr>
        <w:spacing w:before="9"/>
        <w:rPr>
          <w:rFonts w:ascii="Arial" w:hAnsi="Arial" w:cs="Arial"/>
          <w:b/>
          <w:color w:val="000000"/>
        </w:rPr>
      </w:pPr>
    </w:p>
    <w:p w14:paraId="57A81864" w14:textId="77777777" w:rsidR="003D56E8" w:rsidRPr="00986EB0" w:rsidRDefault="00AA767F" w:rsidP="00A876E8">
      <w:pPr>
        <w:keepNext/>
        <w:keepLines/>
        <w:widowControl/>
        <w:pBdr>
          <w:top w:val="nil"/>
          <w:left w:val="nil"/>
          <w:bottom w:val="nil"/>
          <w:right w:val="nil"/>
          <w:between w:val="nil"/>
        </w:pBdr>
        <w:spacing w:before="9"/>
        <w:jc w:val="right"/>
        <w:rPr>
          <w:rFonts w:ascii="Arial" w:hAnsi="Arial" w:cs="Arial"/>
          <w:b/>
          <w:color w:val="000000"/>
        </w:rPr>
      </w:pPr>
      <w:r w:rsidRPr="00986EB0">
        <w:rPr>
          <w:rFonts w:ascii="Arial" w:eastAsia="Gadugi" w:hAnsi="Arial" w:cs="Arial"/>
          <w:b/>
          <w:noProof/>
          <w:u w:val="single"/>
          <w:lang w:bidi="fr-CA"/>
        </w:rPr>
        <w:drawing>
          <wp:inline distT="0" distB="0" distL="0" distR="0" wp14:anchorId="695E303E" wp14:editId="0E176FA7">
            <wp:extent cx="3329896" cy="1199819"/>
            <wp:effectExtent l="0" t="0" r="0" b="635"/>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348837" cy="1206644"/>
                    </a:xfrm>
                    <a:prstGeom prst="rect">
                      <a:avLst/>
                    </a:prstGeom>
                    <a:ln/>
                  </pic:spPr>
                </pic:pic>
              </a:graphicData>
            </a:graphic>
          </wp:inline>
        </w:drawing>
      </w:r>
    </w:p>
    <w:p w14:paraId="66BC9B47" w14:textId="62988003" w:rsidR="003D56E8" w:rsidRPr="00986EB0" w:rsidRDefault="00AA767F" w:rsidP="00A876E8">
      <w:pPr>
        <w:keepNext/>
        <w:keepLines/>
        <w:widowControl/>
        <w:spacing w:before="137" w:line="360" w:lineRule="auto"/>
        <w:ind w:left="4419" w:right="508"/>
        <w:jc w:val="right"/>
        <w:rPr>
          <w:rFonts w:ascii="Arial" w:hAnsi="Arial" w:cs="Arial"/>
          <w:b/>
          <w:sz w:val="24"/>
          <w:szCs w:val="24"/>
        </w:rPr>
      </w:pPr>
      <w:r w:rsidRPr="00986EB0">
        <w:rPr>
          <w:rFonts w:ascii="Arial" w:eastAsia="Gadugi" w:hAnsi="Arial" w:cs="Arial"/>
          <w:b/>
          <w:sz w:val="24"/>
          <w:lang w:bidi="fr-CA"/>
        </w:rPr>
        <w:t xml:space="preserve">DATE : 6 octobre 2020 </w:t>
      </w:r>
    </w:p>
    <w:p w14:paraId="6C9DE2A9" w14:textId="77777777" w:rsidR="003D56E8" w:rsidRPr="00986EB0" w:rsidRDefault="00AA767F" w:rsidP="00A876E8">
      <w:pPr>
        <w:keepNext/>
        <w:keepLines/>
        <w:widowControl/>
        <w:spacing w:before="137" w:line="360" w:lineRule="auto"/>
        <w:ind w:left="4419" w:right="508"/>
        <w:jc w:val="right"/>
        <w:rPr>
          <w:rFonts w:ascii="Arial" w:hAnsi="Arial" w:cs="Arial"/>
          <w:b/>
          <w:sz w:val="24"/>
          <w:szCs w:val="24"/>
        </w:rPr>
      </w:pPr>
      <w:r w:rsidRPr="00986EB0">
        <w:rPr>
          <w:rFonts w:ascii="Arial" w:eastAsia="Gadugi" w:hAnsi="Arial" w:cs="Arial"/>
          <w:b/>
          <w:sz w:val="24"/>
          <w:lang w:bidi="fr-CA"/>
        </w:rPr>
        <w:t>Anthony Rose</w:t>
      </w:r>
    </w:p>
    <w:p w14:paraId="000D4E81" w14:textId="77777777" w:rsidR="003D56E8" w:rsidRPr="00986EB0" w:rsidRDefault="00AA767F" w:rsidP="00A876E8">
      <w:pPr>
        <w:keepNext/>
        <w:keepLines/>
        <w:widowControl/>
        <w:ind w:left="1672" w:right="508"/>
        <w:jc w:val="right"/>
        <w:rPr>
          <w:rFonts w:ascii="Arial" w:hAnsi="Arial" w:cs="Arial"/>
          <w:b/>
          <w:sz w:val="24"/>
          <w:szCs w:val="24"/>
        </w:rPr>
      </w:pPr>
      <w:r w:rsidRPr="00986EB0">
        <w:rPr>
          <w:rFonts w:ascii="Arial" w:eastAsia="Gadugi" w:hAnsi="Arial" w:cs="Arial"/>
          <w:b/>
          <w:sz w:val="24"/>
          <w:lang w:bidi="fr-CA"/>
        </w:rPr>
        <w:t>Président, Conseil d’examen des taux des entreprises de service</w:t>
      </w:r>
    </w:p>
    <w:sectPr w:rsidR="003D56E8" w:rsidRPr="00986EB0" w:rsidSect="00A876E8">
      <w:pgSz w:w="12240" w:h="15840"/>
      <w:pgMar w:top="1720" w:right="1420" w:bottom="940" w:left="1200" w:header="1528" w:footer="74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C4B4" w14:textId="77777777" w:rsidR="00EC7838" w:rsidRDefault="00EC7838">
      <w:r>
        <w:separator/>
      </w:r>
    </w:p>
  </w:endnote>
  <w:endnote w:type="continuationSeparator" w:id="0">
    <w:p w14:paraId="486E7596" w14:textId="77777777" w:rsidR="00EC7838" w:rsidRDefault="00EC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238F" w14:textId="77777777" w:rsidR="00DE3A58" w:rsidRDefault="00DE3A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71EB" w14:textId="77777777" w:rsidR="00DE3A58" w:rsidRDefault="00DE3A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06A8" w14:textId="77777777" w:rsidR="00DE3A58" w:rsidRDefault="00DE3A5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2972" w14:textId="77777777" w:rsidR="00796F0C" w:rsidRDefault="00796F0C">
    <w:pPr>
      <w:pBdr>
        <w:top w:val="nil"/>
        <w:left w:val="nil"/>
        <w:bottom w:val="nil"/>
        <w:right w:val="nil"/>
        <w:between w:val="nil"/>
      </w:pBdr>
      <w:tabs>
        <w:tab w:val="center" w:pos="4680"/>
        <w:tab w:val="right" w:pos="9360"/>
      </w:tabs>
      <w:jc w:val="right"/>
      <w:rPr>
        <w:color w:val="000000"/>
        <w:sz w:val="20"/>
        <w:szCs w:val="20"/>
      </w:rPr>
    </w:pPr>
    <w:r>
      <w:rPr>
        <w:rFonts w:ascii="Gadugi" w:eastAsia="Gadugi" w:hAnsi="Gadugi" w:cs="Gadugi"/>
        <w:sz w:val="20"/>
        <w:lang w:bidi="fr-CA"/>
      </w:rPr>
      <w:t xml:space="preserve">Page </w:t>
    </w:r>
    <w:r>
      <w:rPr>
        <w:rFonts w:ascii="Gadugi" w:eastAsia="Gadugi" w:hAnsi="Gadugi" w:cs="Gadugi"/>
        <w:sz w:val="20"/>
        <w:lang w:bidi="fr-CA"/>
      </w:rPr>
      <w:fldChar w:fldCharType="begin"/>
    </w:r>
    <w:r>
      <w:rPr>
        <w:rFonts w:ascii="Gadugi" w:eastAsia="Gadugi" w:hAnsi="Gadugi" w:cs="Gadugi"/>
        <w:sz w:val="20"/>
        <w:lang w:bidi="fr-CA"/>
      </w:rPr>
      <w:instrText>PAGE</w:instrText>
    </w:r>
    <w:r>
      <w:rPr>
        <w:rFonts w:ascii="Gadugi" w:eastAsia="Gadugi" w:hAnsi="Gadugi" w:cs="Gadugi"/>
        <w:sz w:val="20"/>
        <w:lang w:bidi="fr-CA"/>
      </w:rPr>
      <w:fldChar w:fldCharType="separate"/>
    </w:r>
    <w:r w:rsidR="00FA260F">
      <w:rPr>
        <w:rFonts w:ascii="Gadugi" w:eastAsia="Gadugi" w:hAnsi="Gadugi" w:cs="Gadugi"/>
        <w:noProof/>
        <w:sz w:val="20"/>
        <w:lang w:bidi="fr-CA"/>
      </w:rPr>
      <w:t>16</w:t>
    </w:r>
    <w:r>
      <w:rPr>
        <w:rFonts w:ascii="Gadugi" w:eastAsia="Gadugi" w:hAnsi="Gadugi" w:cs="Gadugi"/>
        <w:sz w:val="20"/>
        <w:lang w:bidi="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BCC7" w14:textId="77777777" w:rsidR="00EC7838" w:rsidRDefault="00EC7838">
      <w:r>
        <w:separator/>
      </w:r>
    </w:p>
  </w:footnote>
  <w:footnote w:type="continuationSeparator" w:id="0">
    <w:p w14:paraId="4795ED55" w14:textId="77777777" w:rsidR="00EC7838" w:rsidRDefault="00EC7838">
      <w:r>
        <w:continuationSeparator/>
      </w:r>
    </w:p>
  </w:footnote>
  <w:footnote w:id="1">
    <w:p w14:paraId="2E93A4AF" w14:textId="4CAE687D" w:rsidR="00796F0C" w:rsidRDefault="00796F0C" w:rsidP="00FE0A0C">
      <w:pPr>
        <w:pBdr>
          <w:top w:val="nil"/>
          <w:left w:val="nil"/>
          <w:bottom w:val="nil"/>
          <w:right w:val="nil"/>
          <w:between w:val="nil"/>
        </w:pBdr>
        <w:ind w:left="360" w:hanging="360"/>
        <w:rPr>
          <w:color w:val="000000"/>
          <w:sz w:val="20"/>
          <w:szCs w:val="20"/>
        </w:rPr>
      </w:pPr>
      <w:r w:rsidRPr="00C5623A">
        <w:rPr>
          <w:rStyle w:val="Appelnotedebasdep"/>
          <w:rFonts w:ascii="Gadugi" w:eastAsia="Gadugi" w:hAnsi="Gadugi" w:cs="Gadugi"/>
          <w:b/>
          <w:lang w:bidi="fr-CA"/>
        </w:rPr>
        <w:footnoteRef/>
      </w:r>
      <w:r>
        <w:rPr>
          <w:rFonts w:ascii="Gadugi" w:eastAsia="Gadugi" w:hAnsi="Gadugi" w:cs="Gadugi"/>
          <w:sz w:val="20"/>
          <w:lang w:bidi="fr-CA"/>
        </w:rPr>
        <w:tab/>
        <w:t>Réponse de la SÉQ à la demande d</w:t>
      </w:r>
      <w:r w:rsidR="00DE3A58">
        <w:rPr>
          <w:rFonts w:ascii="Gadugi" w:eastAsia="Gadugi" w:hAnsi="Gadugi" w:cs="Gadugi"/>
          <w:sz w:val="20"/>
          <w:lang w:bidi="fr-CA"/>
        </w:rPr>
        <w:t>’</w:t>
      </w:r>
      <w:r>
        <w:rPr>
          <w:rFonts w:ascii="Gadugi" w:eastAsia="Gadugi" w:hAnsi="Gadugi" w:cs="Gadugi"/>
          <w:sz w:val="20"/>
          <w:lang w:bidi="fr-CA"/>
        </w:rPr>
        <w:t>information CETES-SÉQ-3(d), datée du 29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5094" w14:textId="77777777" w:rsidR="00DE3A58" w:rsidRDefault="00DE3A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40A5" w14:textId="77777777" w:rsidR="00DE3A58" w:rsidRDefault="00DE3A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0B5B" w14:textId="77777777" w:rsidR="00DE3A58" w:rsidRDefault="00DE3A5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D60" w14:textId="77777777" w:rsidR="00796F0C" w:rsidRDefault="00796F0C">
    <w:pPr>
      <w:pBdr>
        <w:top w:val="nil"/>
        <w:left w:val="nil"/>
        <w:bottom w:val="nil"/>
        <w:right w:val="nil"/>
        <w:between w:val="nil"/>
      </w:pBdr>
      <w:spacing w:line="14" w:lineRule="auto"/>
      <w:rPr>
        <w:color w:val="000000"/>
        <w:sz w:val="20"/>
        <w:szCs w:val="20"/>
      </w:rPr>
    </w:pPr>
    <w:r>
      <w:rPr>
        <w:rFonts w:ascii="Gadugi" w:eastAsia="Gadugi" w:hAnsi="Gadugi" w:cs="Gadugi"/>
        <w:noProof/>
        <w:sz w:val="24"/>
        <w:lang w:bidi="fr-CA"/>
      </w:rPr>
      <mc:AlternateContent>
        <mc:Choice Requires="wps">
          <w:drawing>
            <wp:anchor distT="0" distB="0" distL="0" distR="0" simplePos="0" relativeHeight="251657216" behindDoc="0" locked="0" layoutInCell="1" hidden="0" allowOverlap="1" wp14:anchorId="7375D070" wp14:editId="472B7997">
              <wp:simplePos x="0" y="0"/>
              <wp:positionH relativeFrom="page">
                <wp:posOffset>884238</wp:posOffset>
              </wp:positionH>
              <wp:positionV relativeFrom="page">
                <wp:posOffset>1070293</wp:posOffset>
              </wp:positionV>
              <wp:extent cx="5989955" cy="22225"/>
              <wp:effectExtent l="0" t="0" r="0" b="0"/>
              <wp:wrapSquare wrapText="bothSides" distT="0" distB="0" distL="0" distR="0"/>
              <wp:docPr id="17" name="Straight Arrow Connector 17"/>
              <wp:cNvGraphicFramePr/>
              <a:graphic xmlns:a="http://schemas.openxmlformats.org/drawingml/2006/main">
                <a:graphicData uri="http://schemas.microsoft.com/office/word/2010/wordprocessingShape">
                  <wps:wsp>
                    <wps:cNvCnPr/>
                    <wps:spPr>
                      <a:xfrm>
                        <a:off x="0" y="0"/>
                        <a:ext cx="5989955" cy="22225"/>
                      </a:xfrm>
                      <a:prstGeom prst="straightConnector1">
                        <a:avLst/>
                      </a:prstGeom>
                      <a:noFill/>
                      <a:ln w="9525" cap="flat" cmpd="sng">
                        <a:solidFill>
                          <a:srgbClr val="DBDBDB"/>
                        </a:solidFill>
                        <a:prstDash val="solid"/>
                        <a:round/>
                        <a:headEnd type="none" w="med" len="med"/>
                        <a:tailEnd type="none" w="med" len="med"/>
                      </a:ln>
                    </wps:spPr>
                    <wps:bodyPr/>
                  </wps:wsp>
                </a:graphicData>
              </a:graphic>
            </wp:anchor>
          </w:drawing>
        </mc:Choice>
        <mc:Fallback>
          <w:pict>
            <v:shapetype w14:anchorId="1BA5E5A7" id="_x0000_t32" coordsize="21600,21600" o:spt="32" o:oned="t" path="m,l21600,21600e" filled="f">
              <v:path arrowok="t" fillok="f" o:connecttype="none"/>
              <o:lock v:ext="edit" shapetype="t"/>
            </v:shapetype>
            <v:shape id="Straight Arrow Connector 17" o:spid="_x0000_s1026" type="#_x0000_t32" style="position:absolute;margin-left:69.65pt;margin-top:84.3pt;width:471.65pt;height:1.75pt;z-index:251657216;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" strokecolor="#dbdbdb">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43E"/>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8A52E96"/>
    <w:multiLevelType w:val="multilevel"/>
    <w:tmpl w:val="E932AC30"/>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2"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D1542"/>
    <w:multiLevelType w:val="multilevel"/>
    <w:tmpl w:val="12FA4EB8"/>
    <w:numStyleLink w:val="URRCList"/>
  </w:abstractNum>
  <w:abstractNum w:abstractNumId="4" w15:restartNumberingAfterBreak="0">
    <w:nsid w:val="2CB67E9A"/>
    <w:multiLevelType w:val="multilevel"/>
    <w:tmpl w:val="4EE4FDD2"/>
    <w:lvl w:ilvl="0">
      <w:start w:val="5"/>
      <w:numFmt w:val="decimal"/>
      <w:lvlText w:val="%1"/>
      <w:lvlJc w:val="left"/>
      <w:pPr>
        <w:ind w:left="819" w:hanging="720"/>
      </w:pPr>
    </w:lvl>
    <w:lvl w:ilvl="1">
      <w:start w:val="5"/>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5" w15:restartNumberingAfterBreak="0">
    <w:nsid w:val="2DD45794"/>
    <w:multiLevelType w:val="multilevel"/>
    <w:tmpl w:val="3D5452E2"/>
    <w:lvl w:ilvl="0">
      <w:start w:val="5"/>
      <w:numFmt w:val="decimal"/>
      <w:lvlText w:val="%1"/>
      <w:lvlJc w:val="left"/>
      <w:pPr>
        <w:ind w:left="819" w:hanging="720"/>
      </w:pPr>
    </w:lvl>
    <w:lvl w:ilvl="1">
      <w:start w:val="3"/>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6" w15:restartNumberingAfterBreak="0">
    <w:nsid w:val="365053CF"/>
    <w:multiLevelType w:val="multilevel"/>
    <w:tmpl w:val="F6D85266"/>
    <w:lvl w:ilvl="0">
      <w:start w:val="4"/>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7" w15:restartNumberingAfterBreak="0">
    <w:nsid w:val="38402ADE"/>
    <w:multiLevelType w:val="multilevel"/>
    <w:tmpl w:val="628287EE"/>
    <w:lvl w:ilvl="0">
      <w:start w:val="5"/>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8" w15:restartNumberingAfterBreak="0">
    <w:nsid w:val="39150B44"/>
    <w:multiLevelType w:val="hybridMultilevel"/>
    <w:tmpl w:val="D62E2060"/>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9" w15:restartNumberingAfterBreak="0">
    <w:nsid w:val="3EFE5C23"/>
    <w:multiLevelType w:val="multilevel"/>
    <w:tmpl w:val="C58C23B4"/>
    <w:lvl w:ilvl="0">
      <w:start w:val="3"/>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10" w15:restartNumberingAfterBreak="0">
    <w:nsid w:val="79E04840"/>
    <w:multiLevelType w:val="multilevel"/>
    <w:tmpl w:val="E2C8AB10"/>
    <w:lvl w:ilvl="0">
      <w:start w:val="3"/>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11"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num w:numId="1">
    <w:abstractNumId w:val="6"/>
  </w:num>
  <w:num w:numId="2">
    <w:abstractNumId w:val="9"/>
  </w:num>
  <w:num w:numId="3">
    <w:abstractNumId w:val="10"/>
  </w:num>
  <w:num w:numId="4">
    <w:abstractNumId w:val="1"/>
  </w:num>
  <w:num w:numId="5">
    <w:abstractNumId w:val="4"/>
  </w:num>
  <w:num w:numId="6">
    <w:abstractNumId w:val="11"/>
  </w:num>
  <w:num w:numId="7">
    <w:abstractNumId w:val="7"/>
  </w:num>
  <w:num w:numId="8">
    <w:abstractNumId w:val="5"/>
  </w:num>
  <w:num w:numId="9">
    <w:abstractNumId w:val="8"/>
  </w:num>
  <w:num w:numId="10">
    <w:abstractNumId w:val="2"/>
  </w:num>
  <w:num w:numId="11">
    <w:abstractNumId w:val="3"/>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8"/>
    <w:rsid w:val="0007066B"/>
    <w:rsid w:val="00071DC1"/>
    <w:rsid w:val="000847B3"/>
    <w:rsid w:val="000F1D3F"/>
    <w:rsid w:val="001229A9"/>
    <w:rsid w:val="00183537"/>
    <w:rsid w:val="001C72C7"/>
    <w:rsid w:val="00240831"/>
    <w:rsid w:val="00241743"/>
    <w:rsid w:val="00241EC3"/>
    <w:rsid w:val="002A0B98"/>
    <w:rsid w:val="002F4ECC"/>
    <w:rsid w:val="00370056"/>
    <w:rsid w:val="00375577"/>
    <w:rsid w:val="003820EF"/>
    <w:rsid w:val="00382FA2"/>
    <w:rsid w:val="003C1B79"/>
    <w:rsid w:val="003C658C"/>
    <w:rsid w:val="003D236F"/>
    <w:rsid w:val="003D56E8"/>
    <w:rsid w:val="00480727"/>
    <w:rsid w:val="00486DCC"/>
    <w:rsid w:val="004D7280"/>
    <w:rsid w:val="005747F1"/>
    <w:rsid w:val="005772D0"/>
    <w:rsid w:val="0059577D"/>
    <w:rsid w:val="005A6F16"/>
    <w:rsid w:val="005B4CC8"/>
    <w:rsid w:val="005B641D"/>
    <w:rsid w:val="005D40A6"/>
    <w:rsid w:val="005F3CC4"/>
    <w:rsid w:val="005F58E2"/>
    <w:rsid w:val="00605058"/>
    <w:rsid w:val="006157F0"/>
    <w:rsid w:val="00616933"/>
    <w:rsid w:val="006602A6"/>
    <w:rsid w:val="006C0421"/>
    <w:rsid w:val="006D53F4"/>
    <w:rsid w:val="006F6AD6"/>
    <w:rsid w:val="007027B4"/>
    <w:rsid w:val="00703766"/>
    <w:rsid w:val="00725338"/>
    <w:rsid w:val="0074451A"/>
    <w:rsid w:val="00780B8A"/>
    <w:rsid w:val="00795D5A"/>
    <w:rsid w:val="00796F0C"/>
    <w:rsid w:val="008125BE"/>
    <w:rsid w:val="00834F38"/>
    <w:rsid w:val="00851F8B"/>
    <w:rsid w:val="0087583F"/>
    <w:rsid w:val="00891467"/>
    <w:rsid w:val="008C0FB7"/>
    <w:rsid w:val="008F353F"/>
    <w:rsid w:val="00903FA0"/>
    <w:rsid w:val="00916261"/>
    <w:rsid w:val="00961C99"/>
    <w:rsid w:val="009838D8"/>
    <w:rsid w:val="00986EB0"/>
    <w:rsid w:val="009A503A"/>
    <w:rsid w:val="009A6635"/>
    <w:rsid w:val="009B2F96"/>
    <w:rsid w:val="009D01F2"/>
    <w:rsid w:val="009E4528"/>
    <w:rsid w:val="009F6D11"/>
    <w:rsid w:val="00A13DC3"/>
    <w:rsid w:val="00A66D1F"/>
    <w:rsid w:val="00A755CB"/>
    <w:rsid w:val="00A876E8"/>
    <w:rsid w:val="00A928FC"/>
    <w:rsid w:val="00AA7180"/>
    <w:rsid w:val="00AA724A"/>
    <w:rsid w:val="00AA767F"/>
    <w:rsid w:val="00AC7BA1"/>
    <w:rsid w:val="00AF0158"/>
    <w:rsid w:val="00B257EA"/>
    <w:rsid w:val="00B26017"/>
    <w:rsid w:val="00B36D86"/>
    <w:rsid w:val="00B41274"/>
    <w:rsid w:val="00B438AC"/>
    <w:rsid w:val="00B80F4F"/>
    <w:rsid w:val="00BC02CB"/>
    <w:rsid w:val="00BF66CE"/>
    <w:rsid w:val="00BF701A"/>
    <w:rsid w:val="00C00ACB"/>
    <w:rsid w:val="00C308E1"/>
    <w:rsid w:val="00C5623A"/>
    <w:rsid w:val="00CC7552"/>
    <w:rsid w:val="00CD69B1"/>
    <w:rsid w:val="00D11CF3"/>
    <w:rsid w:val="00D12C74"/>
    <w:rsid w:val="00D15631"/>
    <w:rsid w:val="00D3017C"/>
    <w:rsid w:val="00D75E18"/>
    <w:rsid w:val="00D803B1"/>
    <w:rsid w:val="00DD6534"/>
    <w:rsid w:val="00DE3A58"/>
    <w:rsid w:val="00DE54A7"/>
    <w:rsid w:val="00E23690"/>
    <w:rsid w:val="00E725FC"/>
    <w:rsid w:val="00EB35FF"/>
    <w:rsid w:val="00EB6B86"/>
    <w:rsid w:val="00EC2CAB"/>
    <w:rsid w:val="00EC7838"/>
    <w:rsid w:val="00EE6EB6"/>
    <w:rsid w:val="00EF501E"/>
    <w:rsid w:val="00F23398"/>
    <w:rsid w:val="00F33ED5"/>
    <w:rsid w:val="00F512C9"/>
    <w:rsid w:val="00F76E84"/>
    <w:rsid w:val="00F82D91"/>
    <w:rsid w:val="00F959FC"/>
    <w:rsid w:val="00FA260F"/>
    <w:rsid w:val="00FD38B2"/>
    <w:rsid w:val="00FD4CC3"/>
    <w:rsid w:val="00FE0A0C"/>
    <w:rsid w:val="00FE2CA9"/>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F7D9"/>
  <w15:docId w15:val="{413AF299-877C-48A1-AB57-B375DF77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515"/>
      <w:jc w:val="center"/>
      <w:outlineLvl w:val="0"/>
    </w:pPr>
    <w:rPr>
      <w:b/>
      <w:bCs/>
      <w:sz w:val="28"/>
      <w:szCs w:val="28"/>
    </w:rPr>
  </w:style>
  <w:style w:type="paragraph" w:styleId="Titre2">
    <w:name w:val="heading 2"/>
    <w:basedOn w:val="Normal"/>
    <w:uiPriority w:val="1"/>
    <w:qFormat/>
    <w:pPr>
      <w:ind w:left="1046"/>
      <w:outlineLvl w:val="1"/>
    </w:pPr>
    <w:rPr>
      <w:b/>
      <w:bCs/>
      <w:sz w:val="24"/>
      <w:szCs w:val="24"/>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TM1">
    <w:name w:val="toc 1"/>
    <w:basedOn w:val="Normal"/>
    <w:uiPriority w:val="39"/>
    <w:qFormat/>
    <w:pPr>
      <w:spacing w:before="100"/>
      <w:ind w:left="139"/>
    </w:pPr>
  </w:style>
  <w:style w:type="paragraph" w:styleId="TM2">
    <w:name w:val="toc 2"/>
    <w:basedOn w:val="Normal"/>
    <w:uiPriority w:val="39"/>
    <w:qFormat/>
    <w:pPr>
      <w:spacing w:before="100"/>
      <w:ind w:left="1019" w:hanging="661"/>
    </w:p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93" w:hanging="360"/>
      <w:jc w:val="both"/>
    </w:pPr>
  </w:style>
  <w:style w:type="paragraph" w:customStyle="1" w:styleId="TableParagraph">
    <w:name w:val="Table Paragraph"/>
    <w:basedOn w:val="Normal"/>
    <w:uiPriority w:val="1"/>
    <w:qFormat/>
    <w:pPr>
      <w:spacing w:before="62"/>
      <w:ind w:left="218"/>
    </w:pPr>
  </w:style>
  <w:style w:type="paragraph" w:styleId="Textedebulles">
    <w:name w:val="Balloon Text"/>
    <w:basedOn w:val="Normal"/>
    <w:link w:val="TextedebullesCar"/>
    <w:uiPriority w:val="99"/>
    <w:semiHidden/>
    <w:unhideWhenUsed/>
    <w:rsid w:val="00FE2392"/>
    <w:rPr>
      <w:rFonts w:ascii="Tahoma" w:hAnsi="Tahoma" w:cs="Tahoma"/>
      <w:sz w:val="16"/>
      <w:szCs w:val="16"/>
    </w:rPr>
  </w:style>
  <w:style w:type="character" w:customStyle="1" w:styleId="TextedebullesCar">
    <w:name w:val="Texte de bulles Car"/>
    <w:basedOn w:val="Policepardfaut"/>
    <w:link w:val="Textedebulles"/>
    <w:uiPriority w:val="99"/>
    <w:semiHidden/>
    <w:rsid w:val="00FE2392"/>
    <w:rPr>
      <w:rFonts w:ascii="Tahoma" w:eastAsia="Times New Roman" w:hAnsi="Tahoma" w:cs="Tahoma"/>
      <w:sz w:val="16"/>
      <w:szCs w:val="16"/>
    </w:rPr>
  </w:style>
  <w:style w:type="paragraph" w:styleId="Pieddepage">
    <w:name w:val="footer"/>
    <w:basedOn w:val="Normal"/>
    <w:link w:val="PieddepageCar"/>
    <w:uiPriority w:val="99"/>
    <w:unhideWhenUsed/>
    <w:rsid w:val="004C2956"/>
    <w:pPr>
      <w:tabs>
        <w:tab w:val="center" w:pos="4680"/>
        <w:tab w:val="right" w:pos="9360"/>
      </w:tabs>
    </w:pPr>
  </w:style>
  <w:style w:type="character" w:customStyle="1" w:styleId="PieddepageCar">
    <w:name w:val="Pied de page Car"/>
    <w:basedOn w:val="Policepardfaut"/>
    <w:link w:val="Pieddepage"/>
    <w:uiPriority w:val="99"/>
    <w:rsid w:val="004C2956"/>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4C2956"/>
    <w:rPr>
      <w:sz w:val="20"/>
      <w:szCs w:val="20"/>
    </w:rPr>
  </w:style>
  <w:style w:type="character" w:customStyle="1" w:styleId="NotedebasdepageCar">
    <w:name w:val="Note de bas de page Car"/>
    <w:basedOn w:val="Policepardfaut"/>
    <w:link w:val="Notedebasdepage"/>
    <w:uiPriority w:val="99"/>
    <w:rsid w:val="004C2956"/>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4C2956"/>
    <w:rPr>
      <w:vertAlign w:val="superscript"/>
    </w:rPr>
  </w:style>
  <w:style w:type="character" w:styleId="Marquedecommentaire">
    <w:name w:val="annotation reference"/>
    <w:basedOn w:val="Policepardfaut"/>
    <w:uiPriority w:val="99"/>
    <w:semiHidden/>
    <w:unhideWhenUsed/>
    <w:rsid w:val="007A3552"/>
    <w:rPr>
      <w:sz w:val="16"/>
      <w:szCs w:val="16"/>
    </w:rPr>
  </w:style>
  <w:style w:type="paragraph" w:styleId="Commentaire">
    <w:name w:val="annotation text"/>
    <w:basedOn w:val="Normal"/>
    <w:link w:val="CommentaireCar"/>
    <w:uiPriority w:val="99"/>
    <w:semiHidden/>
    <w:unhideWhenUsed/>
    <w:rsid w:val="007A3552"/>
    <w:rPr>
      <w:sz w:val="20"/>
      <w:szCs w:val="20"/>
    </w:rPr>
  </w:style>
  <w:style w:type="character" w:customStyle="1" w:styleId="CommentaireCar">
    <w:name w:val="Commentaire Car"/>
    <w:basedOn w:val="Policepardfaut"/>
    <w:link w:val="Commentaire"/>
    <w:uiPriority w:val="99"/>
    <w:semiHidden/>
    <w:rsid w:val="007A355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7A3552"/>
    <w:rPr>
      <w:b/>
      <w:bCs/>
    </w:rPr>
  </w:style>
  <w:style w:type="character" w:customStyle="1" w:styleId="ObjetducommentaireCar">
    <w:name w:val="Objet du commentaire Car"/>
    <w:basedOn w:val="CommentaireCar"/>
    <w:link w:val="Objetducommentaire"/>
    <w:uiPriority w:val="99"/>
    <w:semiHidden/>
    <w:rsid w:val="007A3552"/>
    <w:rPr>
      <w:rFonts w:ascii="Times New Roman" w:eastAsia="Times New Roman" w:hAnsi="Times New Roman" w:cs="Times New Roman"/>
      <w:b/>
      <w:bCs/>
      <w:sz w:val="20"/>
      <w:szCs w:val="20"/>
    </w:rPr>
  </w:style>
  <w:style w:type="paragraph" w:styleId="Rvision">
    <w:name w:val="Revision"/>
    <w:hidden/>
    <w:uiPriority w:val="99"/>
    <w:semiHidden/>
    <w:rsid w:val="00AA0D16"/>
    <w:pPr>
      <w:widowControl/>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0" w:type="dxa"/>
        <w:right w:w="0" w:type="dxa"/>
      </w:tblCellMar>
    </w:tblPr>
  </w:style>
  <w:style w:type="paragraph" w:customStyle="1" w:styleId="URRCHeading1">
    <w:name w:val="URRC_Heading 1"/>
    <w:basedOn w:val="Normal"/>
    <w:uiPriority w:val="1"/>
    <w:qFormat/>
    <w:rsid w:val="00851F8B"/>
    <w:pPr>
      <w:numPr>
        <w:numId w:val="11"/>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851F8B"/>
    <w:pPr>
      <w:numPr>
        <w:ilvl w:val="1"/>
        <w:numId w:val="11"/>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851F8B"/>
    <w:pPr>
      <w:numPr>
        <w:numId w:val="10"/>
      </w:numPr>
    </w:pPr>
  </w:style>
  <w:style w:type="character" w:styleId="Lienhypertexte">
    <w:name w:val="Hyperlink"/>
    <w:basedOn w:val="Policepardfaut"/>
    <w:uiPriority w:val="99"/>
    <w:unhideWhenUsed/>
    <w:rsid w:val="00AA724A"/>
    <w:rPr>
      <w:color w:val="0000FF" w:themeColor="hyperlink"/>
      <w:u w:val="single"/>
    </w:rPr>
  </w:style>
  <w:style w:type="table" w:styleId="Grilledutableau">
    <w:name w:val="Table Grid"/>
    <w:basedOn w:val="TableauNormal"/>
    <w:uiPriority w:val="59"/>
    <w:unhideWhenUsed/>
    <w:rsid w:val="0089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017C"/>
    <w:pPr>
      <w:tabs>
        <w:tab w:val="center" w:pos="4680"/>
        <w:tab w:val="right" w:pos="9360"/>
      </w:tabs>
    </w:pPr>
  </w:style>
  <w:style w:type="character" w:customStyle="1" w:styleId="En-tteCar">
    <w:name w:val="En-tête Car"/>
    <w:basedOn w:val="Policepardfaut"/>
    <w:link w:val="En-tte"/>
    <w:uiPriority w:val="99"/>
    <w:rsid w:val="00D3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84789">
      <w:bodyDiv w:val="1"/>
      <w:marLeft w:val="0"/>
      <w:marRight w:val="0"/>
      <w:marTop w:val="0"/>
      <w:marBottom w:val="0"/>
      <w:divBdr>
        <w:top w:val="none" w:sz="0" w:space="0" w:color="auto"/>
        <w:left w:val="none" w:sz="0" w:space="0" w:color="auto"/>
        <w:bottom w:val="none" w:sz="0" w:space="0" w:color="auto"/>
        <w:right w:val="none" w:sz="0" w:space="0" w:color="auto"/>
      </w:divBdr>
      <w:divsChild>
        <w:div w:id="73026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2808">
              <w:marLeft w:val="0"/>
              <w:marRight w:val="0"/>
              <w:marTop w:val="0"/>
              <w:marBottom w:val="0"/>
              <w:divBdr>
                <w:top w:val="none" w:sz="0" w:space="0" w:color="auto"/>
                <w:left w:val="none" w:sz="0" w:space="0" w:color="auto"/>
                <w:bottom w:val="none" w:sz="0" w:space="0" w:color="auto"/>
                <w:right w:val="none" w:sz="0" w:space="0" w:color="auto"/>
              </w:divBdr>
              <w:divsChild>
                <w:div w:id="582108749">
                  <w:marLeft w:val="0"/>
                  <w:marRight w:val="0"/>
                  <w:marTop w:val="0"/>
                  <w:marBottom w:val="0"/>
                  <w:divBdr>
                    <w:top w:val="none" w:sz="0" w:space="0" w:color="auto"/>
                    <w:left w:val="none" w:sz="0" w:space="0" w:color="auto"/>
                    <w:bottom w:val="none" w:sz="0" w:space="0" w:color="auto"/>
                    <w:right w:val="none" w:sz="0" w:space="0" w:color="auto"/>
                  </w:divBdr>
                  <w:divsChild>
                    <w:div w:id="124854121">
                      <w:marLeft w:val="0"/>
                      <w:marRight w:val="0"/>
                      <w:marTop w:val="0"/>
                      <w:marBottom w:val="0"/>
                      <w:divBdr>
                        <w:top w:val="none" w:sz="0" w:space="0" w:color="auto"/>
                        <w:left w:val="none" w:sz="0" w:space="0" w:color="auto"/>
                        <w:bottom w:val="none" w:sz="0" w:space="0" w:color="auto"/>
                        <w:right w:val="none" w:sz="0" w:space="0" w:color="auto"/>
                      </w:divBdr>
                      <w:divsChild>
                        <w:div w:id="153657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141245">
                              <w:marLeft w:val="0"/>
                              <w:marRight w:val="0"/>
                              <w:marTop w:val="0"/>
                              <w:marBottom w:val="0"/>
                              <w:divBdr>
                                <w:top w:val="none" w:sz="0" w:space="0" w:color="auto"/>
                                <w:left w:val="none" w:sz="0" w:space="0" w:color="auto"/>
                                <w:bottom w:val="none" w:sz="0" w:space="0" w:color="auto"/>
                                <w:right w:val="none" w:sz="0" w:space="0" w:color="auto"/>
                              </w:divBdr>
                              <w:divsChild>
                                <w:div w:id="1134328787">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0"/>
                                      <w:marRight w:val="0"/>
                                      <w:marTop w:val="0"/>
                                      <w:marBottom w:val="0"/>
                                      <w:divBdr>
                                        <w:top w:val="none" w:sz="0" w:space="0" w:color="auto"/>
                                        <w:left w:val="none" w:sz="0" w:space="0" w:color="auto"/>
                                        <w:bottom w:val="none" w:sz="0" w:space="0" w:color="auto"/>
                                        <w:right w:val="none" w:sz="0" w:space="0" w:color="auto"/>
                                      </w:divBdr>
                                      <w:divsChild>
                                        <w:div w:id="1029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urrc.gov.nu.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RC@gov.nu.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b4hF3RMv5zbgjrIIpln4BKChaQ==">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</go:docsCustomData>
</go:gDocsCustomXmlDataStorage>
</file>

<file path=customXml/itemProps1.xml><?xml version="1.0" encoding="utf-8"?>
<ds:datastoreItem xmlns:ds="http://schemas.openxmlformats.org/officeDocument/2006/customXml" ds:itemID="{32E68284-E038-446B-9D21-C75BF966D8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5376</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Pilar Calderon</cp:lastModifiedBy>
  <cp:revision>4</cp:revision>
  <cp:lastPrinted>2020-10-05T23:34:00Z</cp:lastPrinted>
  <dcterms:created xsi:type="dcterms:W3CDTF">2021-10-15T18:20:00Z</dcterms:created>
  <dcterms:modified xsi:type="dcterms:W3CDTF">2021-10-20T15:03:00Z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11 for Word</vt:lpwstr>
  </property>
  <property fmtid="{D5CDD505-2E9C-101B-9397-08002B2CF9AE}" pid="4" name="LastSaved">
    <vt:filetime>2020-09-17T00:00:00Z</vt:filetime>
  </property>
</Properties>
</file>